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auto"/>
          <w:sz w:val="20"/>
        </w:rPr>
        <w:id w:val="826950283"/>
        <w:docPartObj>
          <w:docPartGallery w:val="Cover Pages"/>
          <w:docPartUnique/>
        </w:docPartObj>
      </w:sdtPr>
      <w:sdtEndPr>
        <w:rPr>
          <w:sz w:val="2"/>
        </w:rPr>
      </w:sdtEndPr>
      <w:sdtContent>
        <w:tbl>
          <w:tblPr>
            <w:tblW w:w="10773" w:type="dxa"/>
            <w:tblLayout w:type="fixed"/>
            <w:tblCellMar>
              <w:left w:w="0" w:type="dxa"/>
              <w:right w:w="0" w:type="dxa"/>
            </w:tblCellMar>
            <w:tblLook w:val="04A0" w:firstRow="1" w:lastRow="0" w:firstColumn="1" w:lastColumn="0" w:noHBand="0" w:noVBand="1"/>
          </w:tblPr>
          <w:tblGrid>
            <w:gridCol w:w="10773"/>
          </w:tblGrid>
          <w:tr w:rsidR="0064413A" w:rsidRPr="0064413A" w14:paraId="186457C6" w14:textId="77777777" w:rsidTr="00204A7E">
            <w:trPr>
              <w:trHeight w:hRule="exact" w:val="10772"/>
            </w:trPr>
            <w:tc>
              <w:tcPr>
                <w:tcW w:w="10773" w:type="dxa"/>
                <w:shd w:val="clear" w:color="auto" w:fill="auto"/>
              </w:tcPr>
              <w:p w14:paraId="478CB3AE" w14:textId="77777777" w:rsidR="0064413A" w:rsidRPr="0064413A" w:rsidRDefault="0064413A" w:rsidP="00204A7E">
                <w:pPr>
                  <w:pStyle w:val="Header"/>
                </w:pPr>
              </w:p>
              <w:p w14:paraId="7BD5EF2D" w14:textId="77777777" w:rsidR="0064413A" w:rsidRPr="0064413A" w:rsidRDefault="0064413A" w:rsidP="00204A7E">
                <w:pPr>
                  <w:pStyle w:val="CoverHeading"/>
                  <w:rPr>
                    <w:color w:val="FFFFFF" w:themeColor="background1"/>
                  </w:rPr>
                </w:pPr>
              </w:p>
              <w:p w14:paraId="594590CD" w14:textId="77777777" w:rsidR="0064413A" w:rsidRPr="0064413A" w:rsidRDefault="0064413A" w:rsidP="00204A7E">
                <w:pPr>
                  <w:pStyle w:val="CoverHeading"/>
                  <w:rPr>
                    <w:color w:val="FFFFFF" w:themeColor="background1"/>
                  </w:rPr>
                </w:pPr>
              </w:p>
              <w:p w14:paraId="5CD0E143" w14:textId="77777777" w:rsidR="0064413A" w:rsidRPr="0064413A" w:rsidRDefault="0064413A" w:rsidP="00204A7E">
                <w:pPr>
                  <w:pStyle w:val="CoverHeading"/>
                  <w:rPr>
                    <w:color w:val="FFFFFF" w:themeColor="background1"/>
                  </w:rPr>
                </w:pPr>
              </w:p>
              <w:p w14:paraId="545EAA8B" w14:textId="77777777" w:rsidR="0064413A" w:rsidRPr="0064413A" w:rsidRDefault="0064413A" w:rsidP="00204A7E">
                <w:pPr>
                  <w:pStyle w:val="CoverHeading"/>
                  <w:rPr>
                    <w:color w:val="FFFFFF" w:themeColor="background1"/>
                  </w:rPr>
                </w:pPr>
              </w:p>
              <w:p w14:paraId="4EC18337" w14:textId="3CE5FD2A" w:rsidR="0064413A" w:rsidRPr="0064413A" w:rsidRDefault="0064413A" w:rsidP="00204A7E">
                <w:pPr>
                  <w:pStyle w:val="CoverHeading2"/>
                  <w:tabs>
                    <w:tab w:val="left" w:pos="9950"/>
                  </w:tabs>
                  <w:spacing w:after="120"/>
                </w:pPr>
                <w:r w:rsidRPr="0064413A">
                  <w:rPr>
                    <w:color w:val="FFFFFF" w:themeColor="background1"/>
                  </w:rPr>
                  <w:br/>
                </w:r>
                <w:r w:rsidR="00E344AA">
                  <w:fldChar w:fldCharType="begin"/>
                </w:r>
                <w:r w:rsidR="00E344AA">
                  <w:instrText xml:space="preserve"> DOCPROPERTY  "Cover Heading"  \* MERGEFORMAT </w:instrText>
                </w:r>
                <w:r w:rsidR="00E344AA">
                  <w:fldChar w:fldCharType="separate"/>
                </w:r>
                <w:r w:rsidR="00BE5F47">
                  <w:t>Cardinia Creek Hydrological and Fish Risk Assessment</w:t>
                </w:r>
                <w:r w:rsidR="00E344AA">
                  <w:fldChar w:fldCharType="end"/>
                </w:r>
                <w:bookmarkStart w:id="0" w:name="starthere"/>
                <w:bookmarkEnd w:id="0"/>
              </w:p>
              <w:p w14:paraId="70D3C452" w14:textId="24B22B5B" w:rsidR="0064413A" w:rsidRPr="0064413A" w:rsidRDefault="00E344AA" w:rsidP="00204A7E">
                <w:pPr>
                  <w:pStyle w:val="CoverTitle"/>
                  <w:spacing w:after="360"/>
                </w:pPr>
                <w:r>
                  <w:fldChar w:fldCharType="begin"/>
                </w:r>
                <w:r>
                  <w:instrText xml:space="preserve"> DOCPROPERTY  "Cover Subheading"  \* MERGEFORMAT </w:instrText>
                </w:r>
                <w:r>
                  <w:fldChar w:fldCharType="separate"/>
                </w:r>
                <w:r w:rsidR="00BE5F47">
                  <w:t>Risk Assessment report</w:t>
                </w:r>
                <w:r>
                  <w:fldChar w:fldCharType="end"/>
                </w:r>
              </w:p>
              <w:p w14:paraId="071F7AD9" w14:textId="546E5A31" w:rsidR="0064413A" w:rsidRPr="0064413A" w:rsidRDefault="00851780" w:rsidP="00204A7E">
                <w:pPr>
                  <w:pStyle w:val="CoverDate2"/>
                  <w:spacing w:after="120"/>
                </w:pPr>
                <w:r>
                  <w:t>Final</w:t>
                </w:r>
              </w:p>
              <w:p w14:paraId="5DB89073" w14:textId="63831B86" w:rsidR="0064413A" w:rsidRPr="0064413A" w:rsidRDefault="00851780" w:rsidP="00204A7E">
                <w:pPr>
                  <w:pStyle w:val="CoverDate2"/>
                  <w:spacing w:after="360"/>
                </w:pPr>
                <w:r>
                  <w:t>1</w:t>
                </w:r>
                <w:r w:rsidR="00BE5F47">
                  <w:t>6</w:t>
                </w:r>
                <w:r>
                  <w:t xml:space="preserve"> April 2021</w:t>
                </w:r>
              </w:p>
              <w:p w14:paraId="0C8A7FC5" w14:textId="4D5560B4" w:rsidR="0064413A" w:rsidRPr="0064413A" w:rsidRDefault="0064413A" w:rsidP="00204A7E">
                <w:pPr>
                  <w:pStyle w:val="CoverDate2"/>
                  <w:rPr>
                    <w:color w:val="auto"/>
                  </w:rPr>
                </w:pPr>
                <w:r w:rsidRPr="0064413A">
                  <w:rPr>
                    <w:color w:val="auto"/>
                  </w:rPr>
                  <w:fldChar w:fldCharType="begin"/>
                </w:r>
                <w:r w:rsidRPr="0064413A">
                  <w:rPr>
                    <w:color w:val="auto"/>
                  </w:rPr>
                  <w:instrText xml:space="preserve"> DOCPROPERTY  "Client Name"  \* MERGEFORMAT </w:instrText>
                </w:r>
                <w:r w:rsidRPr="0064413A">
                  <w:rPr>
                    <w:color w:val="auto"/>
                  </w:rPr>
                  <w:fldChar w:fldCharType="separate"/>
                </w:r>
                <w:r w:rsidR="00BE5F47">
                  <w:rPr>
                    <w:color w:val="auto"/>
                  </w:rPr>
                  <w:t>Melbourne Water</w:t>
                </w:r>
                <w:r w:rsidRPr="0064413A">
                  <w:rPr>
                    <w:color w:val="auto"/>
                  </w:rPr>
                  <w:fldChar w:fldCharType="end"/>
                </w:r>
              </w:p>
              <w:p w14:paraId="385462F0" w14:textId="54EDF3FE" w:rsidR="0064413A" w:rsidRPr="0064413A" w:rsidRDefault="0064413A" w:rsidP="00204A7E">
                <w:pPr>
                  <w:pStyle w:val="CoverDate2"/>
                  <w:spacing w:after="120"/>
                </w:pPr>
                <w:r w:rsidRPr="00BF0918">
                  <w:rPr>
                    <w:rFonts w:cs="Arial"/>
                    <w:b w:val="0"/>
                    <w:noProof/>
                    <w:color w:val="808080"/>
                    <w:szCs w:val="22"/>
                    <w:lang w:eastAsia="en-AU"/>
                  </w:rPr>
                  <w:drawing>
                    <wp:anchor distT="0" distB="0" distL="114300" distR="114300" simplePos="0" relativeHeight="251658240" behindDoc="0" locked="1" layoutInCell="0" allowOverlap="0" wp14:anchorId="3901020E" wp14:editId="4663D68A">
                      <wp:simplePos x="0" y="0"/>
                      <wp:positionH relativeFrom="page">
                        <wp:posOffset>4678680</wp:posOffset>
                      </wp:positionH>
                      <wp:positionV relativeFrom="page">
                        <wp:posOffset>995680</wp:posOffset>
                      </wp:positionV>
                      <wp:extent cx="1637665" cy="376555"/>
                      <wp:effectExtent l="0" t="0" r="635" b="4445"/>
                      <wp:wrapNone/>
                      <wp:docPr id="12"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1" cstate="email">
                                <a:extLst>
                                  <a:ext uri="{28A0092B-C50C-407E-A947-70E740481C1C}">
                                    <a14:useLocalDpi xmlns:a14="http://schemas.microsoft.com/office/drawing/2010/main"/>
                                  </a:ext>
                                </a:extLst>
                              </a:blip>
                              <a:stretch>
                                <a:fillRect/>
                              </a:stretch>
                            </pic:blipFill>
                            <pic:spPr>
                              <a:xfrm>
                                <a:off x="0" y="0"/>
                                <a:ext cx="1637665" cy="376555"/>
                              </a:xfrm>
                              <a:prstGeom prst="rect">
                                <a:avLst/>
                              </a:prstGeom>
                              <a:noFill/>
                            </pic:spPr>
                          </pic:pic>
                        </a:graphicData>
                      </a:graphic>
                      <wp14:sizeRelH relativeFrom="margin">
                        <wp14:pctWidth>0</wp14:pctWidth>
                      </wp14:sizeRelH>
                      <wp14:sizeRelV relativeFrom="margin">
                        <wp14:pctHeight>0</wp14:pctHeight>
                      </wp14:sizeRelV>
                    </wp:anchor>
                  </w:drawing>
                </w:r>
                <w:r w:rsidR="00A21044" w:rsidRPr="0064413A">
                  <w:t xml:space="preserve"> </w:t>
                </w:r>
              </w:p>
            </w:tc>
          </w:tr>
          <w:tr w:rsidR="0064413A" w:rsidRPr="0064413A" w14:paraId="7EE9469F" w14:textId="77777777" w:rsidTr="00204A7E">
            <w:trPr>
              <w:trHeight w:hRule="exact" w:val="4820"/>
            </w:trPr>
            <w:tc>
              <w:tcPr>
                <w:tcW w:w="10773" w:type="dxa"/>
                <w:shd w:val="clear" w:color="auto" w:fill="auto"/>
              </w:tcPr>
              <w:p w14:paraId="5C87FE73" w14:textId="454B67A0" w:rsidR="0064413A" w:rsidRPr="0064413A" w:rsidRDefault="0064413A" w:rsidP="00204A7E">
                <w:pPr>
                  <w:pStyle w:val="DocumentTitle"/>
                  <w:spacing w:after="0" w:line="240" w:lineRule="auto"/>
                  <w:rPr>
                    <w:color w:val="FFFFFF" w:themeColor="background1"/>
                    <w:sz w:val="2"/>
                  </w:rPr>
                </w:pPr>
                <w:r w:rsidRPr="0064413A">
                  <w:rPr>
                    <w:color w:val="FFFFFF" w:themeColor="background1"/>
                    <w:sz w:val="2"/>
                  </w:rPr>
                  <w:fldChar w:fldCharType="begin"/>
                </w:r>
                <w:r w:rsidRPr="0064413A">
                  <w:rPr>
                    <w:color w:val="FFFFFF" w:themeColor="background1"/>
                    <w:sz w:val="2"/>
                  </w:rPr>
                  <w:instrText xml:space="preserve"> DOCPROPERTY  "Document Title"  \* MERGEFORMAT </w:instrText>
                </w:r>
                <w:r w:rsidRPr="0064413A">
                  <w:rPr>
                    <w:color w:val="FFFFFF" w:themeColor="background1"/>
                    <w:sz w:val="2"/>
                  </w:rPr>
                  <w:fldChar w:fldCharType="separate"/>
                </w:r>
                <w:r w:rsidR="00BE5F47">
                  <w:rPr>
                    <w:color w:val="FFFFFF" w:themeColor="background1"/>
                    <w:sz w:val="2"/>
                  </w:rPr>
                  <w:t>Risk Assessment report</w:t>
                </w:r>
                <w:r w:rsidRPr="0064413A">
                  <w:rPr>
                    <w:color w:val="FFFFFF" w:themeColor="background1"/>
                    <w:sz w:val="2"/>
                  </w:rPr>
                  <w:fldChar w:fldCharType="end"/>
                </w:r>
              </w:p>
              <w:p w14:paraId="68397278" w14:textId="5D3CE338" w:rsidR="0064413A" w:rsidRPr="0064413A" w:rsidRDefault="0064413A" w:rsidP="00710590">
                <w:pPr>
                  <w:pStyle w:val="ClientName"/>
                  <w:spacing w:after="0" w:line="240" w:lineRule="auto"/>
                  <w:ind w:right="144"/>
                </w:pPr>
                <w:r w:rsidRPr="0064413A">
                  <w:rPr>
                    <w:color w:val="FFFFFF" w:themeColor="background1"/>
                    <w:sz w:val="2"/>
                  </w:rPr>
                  <w:fldChar w:fldCharType="begin"/>
                </w:r>
                <w:r w:rsidRPr="0064413A">
                  <w:rPr>
                    <w:color w:val="FFFFFF" w:themeColor="background1"/>
                    <w:sz w:val="2"/>
                  </w:rPr>
                  <w:instrText xml:space="preserve"> DOCPROPERTY  "Client Name"  \* MERGEFORMAT </w:instrText>
                </w:r>
                <w:r w:rsidRPr="0064413A">
                  <w:rPr>
                    <w:color w:val="FFFFFF" w:themeColor="background1"/>
                    <w:sz w:val="2"/>
                  </w:rPr>
                  <w:fldChar w:fldCharType="separate"/>
                </w:r>
                <w:r w:rsidR="00BE5F47">
                  <w:rPr>
                    <w:color w:val="FFFFFF" w:themeColor="background1"/>
                    <w:sz w:val="2"/>
                  </w:rPr>
                  <w:t>Melbourne Water</w:t>
                </w:r>
                <w:r w:rsidRPr="0064413A">
                  <w:rPr>
                    <w:color w:val="FFFFFF" w:themeColor="background1"/>
                    <w:sz w:val="2"/>
                  </w:rPr>
                  <w:fldChar w:fldCharType="end"/>
                </w:r>
                <w:r w:rsidRPr="0064413A">
                  <w:rPr>
                    <w:noProof/>
                    <w:lang w:eastAsia="en-AU"/>
                  </w:rPr>
                  <w:drawing>
                    <wp:inline distT="0" distB="0" distL="0" distR="0" wp14:anchorId="2547B7DA" wp14:editId="7F2A3961">
                      <wp:extent cx="6217285" cy="320284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Titanium.jpg"/>
                              <pic:cNvPicPr/>
                            </pic:nvPicPr>
                            <pic:blipFill>
                              <a:blip r:embed="rId12" cstate="email">
                                <a:extLst>
                                  <a:ext uri="{28A0092B-C50C-407E-A947-70E740481C1C}">
                                    <a14:useLocalDpi xmlns:a14="http://schemas.microsoft.com/office/drawing/2010/main"/>
                                  </a:ext>
                                </a:extLst>
                              </a:blip>
                              <a:stretch>
                                <a:fillRect/>
                              </a:stretch>
                            </pic:blipFill>
                            <pic:spPr>
                              <a:xfrm>
                                <a:off x="0" y="0"/>
                                <a:ext cx="6234205" cy="3211560"/>
                              </a:xfrm>
                              <a:prstGeom prst="rect">
                                <a:avLst/>
                              </a:prstGeom>
                              <a:noFill/>
                              <a:ln>
                                <a:noFill/>
                              </a:ln>
                            </pic:spPr>
                          </pic:pic>
                        </a:graphicData>
                      </a:graphic>
                    </wp:inline>
                  </w:drawing>
                </w:r>
              </w:p>
            </w:tc>
          </w:tr>
        </w:tbl>
        <w:p w14:paraId="56474A94" w14:textId="77777777" w:rsidR="0064413A" w:rsidRPr="0064413A" w:rsidRDefault="00E344AA" w:rsidP="00204A7E">
          <w:pPr>
            <w:pStyle w:val="Para0"/>
            <w:spacing w:before="0" w:after="0" w:line="240" w:lineRule="auto"/>
            <w:rPr>
              <w:sz w:val="2"/>
            </w:rPr>
            <w:sectPr w:rsidR="0064413A" w:rsidRPr="0064413A" w:rsidSect="0064413A">
              <w:headerReference w:type="even" r:id="rId13"/>
              <w:headerReference w:type="default" r:id="rId14"/>
              <w:footerReference w:type="even" r:id="rId15"/>
              <w:footerReference w:type="default" r:id="rId16"/>
              <w:headerReference w:type="first" r:id="rId17"/>
              <w:footerReference w:type="first" r:id="rId18"/>
              <w:pgSz w:w="11901" w:h="16840" w:code="9"/>
              <w:pgMar w:top="567" w:right="567" w:bottom="567" w:left="567" w:header="567" w:footer="369" w:gutter="0"/>
              <w:cols w:space="0"/>
              <w:formProt w:val="0"/>
              <w:docGrid w:linePitch="360"/>
            </w:sectPr>
          </w:pP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3"/>
        <w:gridCol w:w="7933"/>
      </w:tblGrid>
      <w:tr w:rsidR="0064413A" w:rsidRPr="0064413A" w14:paraId="436B03FA" w14:textId="77777777" w:rsidTr="00204A7E">
        <w:trPr>
          <w:trHeight w:hRule="exact" w:val="683"/>
        </w:trPr>
        <w:tc>
          <w:tcPr>
            <w:tcW w:w="5000" w:type="pct"/>
            <w:gridSpan w:val="2"/>
          </w:tcPr>
          <w:p w14:paraId="080503AF" w14:textId="0421C51C" w:rsidR="0064413A" w:rsidRPr="0064413A" w:rsidRDefault="00E344AA" w:rsidP="00204A7E">
            <w:pPr>
              <w:pStyle w:val="ProjectName"/>
            </w:pPr>
            <w:r>
              <w:lastRenderedPageBreak/>
              <w:fldChar w:fldCharType="begin"/>
            </w:r>
            <w:r>
              <w:instrText xml:space="preserve"> DOCPROPERTY  "Project Name"  \* MERGEFORMAT </w:instrText>
            </w:r>
            <w:r>
              <w:fldChar w:fldCharType="separate"/>
            </w:r>
            <w:r w:rsidR="00BE5F47">
              <w:t>Cardinia Creek Hydrological and Fish Risk Assessment</w:t>
            </w:r>
            <w:r>
              <w:fldChar w:fldCharType="end"/>
            </w:r>
          </w:p>
        </w:tc>
      </w:tr>
      <w:tr w:rsidR="0064413A" w:rsidRPr="0064413A" w14:paraId="31D927A7" w14:textId="77777777" w:rsidTr="00204A7E">
        <w:trPr>
          <w:trHeight w:val="284"/>
        </w:trPr>
        <w:tc>
          <w:tcPr>
            <w:tcW w:w="1000" w:type="pct"/>
          </w:tcPr>
          <w:p w14:paraId="7B845885" w14:textId="77777777" w:rsidR="0064413A" w:rsidRPr="0064413A" w:rsidRDefault="0064413A" w:rsidP="00204A7E">
            <w:pPr>
              <w:pStyle w:val="Tabletext"/>
              <w:spacing w:before="0"/>
            </w:pPr>
            <w:r w:rsidRPr="0064413A">
              <w:t>Project No:</w:t>
            </w:r>
          </w:p>
        </w:tc>
        <w:tc>
          <w:tcPr>
            <w:tcW w:w="4000" w:type="pct"/>
          </w:tcPr>
          <w:p w14:paraId="1F44EA31" w14:textId="1B32C4DB" w:rsidR="0064413A" w:rsidRPr="0064413A" w:rsidRDefault="00E344AA" w:rsidP="00204A7E">
            <w:pPr>
              <w:pStyle w:val="ProjectNo"/>
            </w:pPr>
            <w:r>
              <w:fldChar w:fldCharType="begin"/>
            </w:r>
            <w:r>
              <w:instrText xml:space="preserve"> DOCPROPERTY  "Project Number"  \* MERGEFORMAT </w:instrText>
            </w:r>
            <w:r>
              <w:fldChar w:fldCharType="separate"/>
            </w:r>
            <w:r w:rsidR="00BE5F47">
              <w:t>IS305400</w:t>
            </w:r>
            <w:r>
              <w:fldChar w:fldCharType="end"/>
            </w:r>
          </w:p>
        </w:tc>
      </w:tr>
      <w:tr w:rsidR="0064413A" w:rsidRPr="0064413A" w14:paraId="303D3D70" w14:textId="77777777" w:rsidTr="00204A7E">
        <w:trPr>
          <w:trHeight w:val="284"/>
        </w:trPr>
        <w:tc>
          <w:tcPr>
            <w:tcW w:w="1000" w:type="pct"/>
          </w:tcPr>
          <w:p w14:paraId="72D300F0" w14:textId="77777777" w:rsidR="0064413A" w:rsidRPr="0064413A" w:rsidRDefault="0064413A" w:rsidP="00204A7E">
            <w:pPr>
              <w:pStyle w:val="Tabletext"/>
              <w:spacing w:before="0"/>
            </w:pPr>
            <w:r w:rsidRPr="0064413A">
              <w:t>Document Title:</w:t>
            </w:r>
          </w:p>
        </w:tc>
        <w:tc>
          <w:tcPr>
            <w:tcW w:w="4000" w:type="pct"/>
          </w:tcPr>
          <w:p w14:paraId="23D7FE23" w14:textId="52352E48" w:rsidR="0064413A" w:rsidRPr="0064413A" w:rsidRDefault="00E344AA" w:rsidP="00204A7E">
            <w:pPr>
              <w:pStyle w:val="DocumentTitle"/>
              <w:spacing w:after="0"/>
            </w:pPr>
            <w:r>
              <w:fldChar w:fldCharType="begin"/>
            </w:r>
            <w:r>
              <w:instrText xml:space="preserve"> DOCPROPERTY  "Document Title"  \* MERGEFORMAT </w:instrText>
            </w:r>
            <w:r>
              <w:fldChar w:fldCharType="separate"/>
            </w:r>
            <w:r w:rsidR="00BE5F47">
              <w:t>Risk Assessment report</w:t>
            </w:r>
            <w:r>
              <w:fldChar w:fldCharType="end"/>
            </w:r>
          </w:p>
        </w:tc>
      </w:tr>
      <w:tr w:rsidR="0064413A" w:rsidRPr="0064413A" w14:paraId="1E868AC1" w14:textId="77777777" w:rsidTr="00204A7E">
        <w:trPr>
          <w:trHeight w:val="284"/>
        </w:trPr>
        <w:tc>
          <w:tcPr>
            <w:tcW w:w="1000" w:type="pct"/>
          </w:tcPr>
          <w:p w14:paraId="386AB86C" w14:textId="77777777" w:rsidR="0064413A" w:rsidRPr="0064413A" w:rsidRDefault="0064413A" w:rsidP="00204A7E">
            <w:pPr>
              <w:pStyle w:val="Tabletext"/>
              <w:spacing w:before="0"/>
            </w:pPr>
            <w:r w:rsidRPr="0064413A">
              <w:t>Document No.:</w:t>
            </w:r>
          </w:p>
        </w:tc>
        <w:tc>
          <w:tcPr>
            <w:tcW w:w="4000" w:type="pct"/>
          </w:tcPr>
          <w:p w14:paraId="7131CCB1" w14:textId="14312EA4" w:rsidR="0064413A" w:rsidRPr="0064413A" w:rsidRDefault="00E344AA" w:rsidP="00204A7E">
            <w:pPr>
              <w:pStyle w:val="Tabletext"/>
              <w:spacing w:before="0"/>
            </w:pPr>
            <w:r>
              <w:fldChar w:fldCharType="begin"/>
            </w:r>
            <w:r>
              <w:instrText xml:space="preserve"> DOCPROPERTY  "Document Number"  \* MERGEFORMAT </w:instrText>
            </w:r>
            <w:r>
              <w:fldChar w:fldCharType="separate"/>
            </w:r>
            <w:r w:rsidR="00BE5F47">
              <w:t>R.01</w:t>
            </w:r>
            <w:r>
              <w:fldChar w:fldCharType="end"/>
            </w:r>
          </w:p>
        </w:tc>
      </w:tr>
      <w:tr w:rsidR="0064413A" w:rsidRPr="0064413A" w14:paraId="6123B39F" w14:textId="77777777" w:rsidTr="00204A7E">
        <w:trPr>
          <w:trHeight w:val="284"/>
        </w:trPr>
        <w:tc>
          <w:tcPr>
            <w:tcW w:w="1000" w:type="pct"/>
          </w:tcPr>
          <w:p w14:paraId="2A85C9AF" w14:textId="77777777" w:rsidR="0064413A" w:rsidRPr="0064413A" w:rsidRDefault="0064413A" w:rsidP="00204A7E">
            <w:pPr>
              <w:pStyle w:val="Tabletext"/>
              <w:spacing w:before="0"/>
            </w:pPr>
            <w:r w:rsidRPr="0064413A">
              <w:t>Revision:</w:t>
            </w:r>
          </w:p>
        </w:tc>
        <w:tc>
          <w:tcPr>
            <w:tcW w:w="4000" w:type="pct"/>
          </w:tcPr>
          <w:p w14:paraId="6997018F" w14:textId="7DEA3A68" w:rsidR="0064413A" w:rsidRPr="0064413A" w:rsidRDefault="00E344AA" w:rsidP="00204A7E">
            <w:pPr>
              <w:pStyle w:val="Tabletext"/>
              <w:spacing w:before="0"/>
            </w:pPr>
            <w:r>
              <w:fldChar w:fldCharType="begin"/>
            </w:r>
            <w:r>
              <w:instrText xml:space="preserve"> DOCPROPERTY  Revision  \* MERGEFORMAT </w:instrText>
            </w:r>
            <w:r>
              <w:fldChar w:fldCharType="separate"/>
            </w:r>
            <w:r w:rsidR="00BE5F47">
              <w:t>00</w:t>
            </w:r>
            <w:r>
              <w:fldChar w:fldCharType="end"/>
            </w:r>
          </w:p>
        </w:tc>
      </w:tr>
      <w:tr w:rsidR="0064413A" w:rsidRPr="0064413A" w14:paraId="6C214BB1" w14:textId="77777777" w:rsidTr="00204A7E">
        <w:trPr>
          <w:trHeight w:val="284"/>
        </w:trPr>
        <w:tc>
          <w:tcPr>
            <w:tcW w:w="1000" w:type="pct"/>
          </w:tcPr>
          <w:p w14:paraId="31AED173" w14:textId="77777777" w:rsidR="0064413A" w:rsidRPr="0064413A" w:rsidRDefault="0064413A" w:rsidP="00204A7E">
            <w:pPr>
              <w:pStyle w:val="Tabletext"/>
              <w:spacing w:before="0"/>
            </w:pPr>
            <w:r w:rsidRPr="0064413A">
              <w:t>Document Status:</w:t>
            </w:r>
          </w:p>
        </w:tc>
        <w:tc>
          <w:tcPr>
            <w:tcW w:w="4000" w:type="pct"/>
          </w:tcPr>
          <w:p w14:paraId="1AA5F7D4" w14:textId="215DE212" w:rsidR="0064413A" w:rsidRPr="0064413A" w:rsidRDefault="00851780" w:rsidP="00204A7E">
            <w:pPr>
              <w:pStyle w:val="Tabletext"/>
              <w:spacing w:before="0"/>
            </w:pPr>
            <w:r>
              <w:t>Final</w:t>
            </w:r>
          </w:p>
        </w:tc>
      </w:tr>
      <w:tr w:rsidR="0064413A" w:rsidRPr="0064413A" w14:paraId="6533BE6C" w14:textId="77777777" w:rsidTr="00204A7E">
        <w:trPr>
          <w:trHeight w:val="284"/>
        </w:trPr>
        <w:tc>
          <w:tcPr>
            <w:tcW w:w="1000" w:type="pct"/>
          </w:tcPr>
          <w:p w14:paraId="5461B0AC" w14:textId="77777777" w:rsidR="0064413A" w:rsidRPr="0064413A" w:rsidRDefault="0064413A" w:rsidP="00204A7E">
            <w:pPr>
              <w:pStyle w:val="Tabletext"/>
              <w:spacing w:before="0"/>
            </w:pPr>
            <w:r w:rsidRPr="0064413A">
              <w:t>Date:</w:t>
            </w:r>
          </w:p>
        </w:tc>
        <w:tc>
          <w:tcPr>
            <w:tcW w:w="4000" w:type="pct"/>
          </w:tcPr>
          <w:p w14:paraId="42C39B90" w14:textId="52280801" w:rsidR="0064413A" w:rsidRPr="0064413A" w:rsidRDefault="00A21044" w:rsidP="00204A7E">
            <w:pPr>
              <w:pStyle w:val="Tabletext"/>
              <w:spacing w:before="0"/>
            </w:pPr>
            <w:r>
              <w:t>1</w:t>
            </w:r>
            <w:r w:rsidR="00BE5F47">
              <w:t>6</w:t>
            </w:r>
            <w:r w:rsidR="00851780">
              <w:t xml:space="preserve"> April 2021</w:t>
            </w:r>
          </w:p>
        </w:tc>
      </w:tr>
      <w:tr w:rsidR="0064413A" w:rsidRPr="0064413A" w14:paraId="2F2CB8CF" w14:textId="77777777" w:rsidTr="00204A7E">
        <w:trPr>
          <w:trHeight w:val="284"/>
        </w:trPr>
        <w:tc>
          <w:tcPr>
            <w:tcW w:w="1000" w:type="pct"/>
          </w:tcPr>
          <w:p w14:paraId="0D1D30A5" w14:textId="77777777" w:rsidR="0064413A" w:rsidRPr="0064413A" w:rsidRDefault="0064413A" w:rsidP="00204A7E">
            <w:pPr>
              <w:pStyle w:val="Tabletext"/>
              <w:spacing w:before="0"/>
            </w:pPr>
            <w:r w:rsidRPr="0064413A">
              <w:t>Client Name:</w:t>
            </w:r>
          </w:p>
        </w:tc>
        <w:tc>
          <w:tcPr>
            <w:tcW w:w="4000" w:type="pct"/>
          </w:tcPr>
          <w:p w14:paraId="33DFE3A3" w14:textId="420A84B1" w:rsidR="0064413A" w:rsidRPr="0064413A" w:rsidRDefault="00E344AA" w:rsidP="00204A7E">
            <w:pPr>
              <w:pStyle w:val="ClientName"/>
              <w:spacing w:after="0"/>
            </w:pPr>
            <w:r>
              <w:fldChar w:fldCharType="begin"/>
            </w:r>
            <w:r>
              <w:instrText xml:space="preserve"> DOCPROPERTY  "Client Name"  \* MERGEFORMAT </w:instrText>
            </w:r>
            <w:r>
              <w:fldChar w:fldCharType="separate"/>
            </w:r>
            <w:r w:rsidR="00BE5F47">
              <w:t>Melbourne Water</w:t>
            </w:r>
            <w:r>
              <w:fldChar w:fldCharType="end"/>
            </w:r>
          </w:p>
        </w:tc>
      </w:tr>
      <w:tr w:rsidR="0064413A" w:rsidRPr="0064413A" w14:paraId="1D33F3AF" w14:textId="77777777" w:rsidTr="00204A7E">
        <w:trPr>
          <w:trHeight w:val="284"/>
        </w:trPr>
        <w:tc>
          <w:tcPr>
            <w:tcW w:w="1000" w:type="pct"/>
          </w:tcPr>
          <w:p w14:paraId="61BAB9CF" w14:textId="77777777" w:rsidR="0064413A" w:rsidRPr="0064413A" w:rsidRDefault="0064413A" w:rsidP="00204A7E">
            <w:pPr>
              <w:pStyle w:val="Tabletext"/>
              <w:spacing w:before="0"/>
            </w:pPr>
            <w:r w:rsidRPr="0064413A">
              <w:t>Client No:</w:t>
            </w:r>
          </w:p>
        </w:tc>
        <w:tc>
          <w:tcPr>
            <w:tcW w:w="4000" w:type="pct"/>
          </w:tcPr>
          <w:p w14:paraId="53772785" w14:textId="1441A7E4" w:rsidR="0064413A" w:rsidRPr="0064413A" w:rsidRDefault="00A21044" w:rsidP="00204A7E">
            <w:pPr>
              <w:pStyle w:val="Tabletext"/>
              <w:spacing w:before="0"/>
            </w:pPr>
            <w:r>
              <w:t>N/A</w:t>
            </w:r>
          </w:p>
        </w:tc>
      </w:tr>
      <w:tr w:rsidR="0064413A" w:rsidRPr="0064413A" w14:paraId="5F366CCD" w14:textId="77777777" w:rsidTr="00204A7E">
        <w:trPr>
          <w:trHeight w:val="284"/>
        </w:trPr>
        <w:tc>
          <w:tcPr>
            <w:tcW w:w="1000" w:type="pct"/>
          </w:tcPr>
          <w:p w14:paraId="6D18364C" w14:textId="77777777" w:rsidR="0064413A" w:rsidRPr="0064413A" w:rsidRDefault="0064413A" w:rsidP="00204A7E">
            <w:pPr>
              <w:pStyle w:val="Tabletext"/>
              <w:spacing w:before="0"/>
            </w:pPr>
            <w:r w:rsidRPr="0064413A">
              <w:t>Project Manager:</w:t>
            </w:r>
          </w:p>
        </w:tc>
        <w:tc>
          <w:tcPr>
            <w:tcW w:w="4000" w:type="pct"/>
          </w:tcPr>
          <w:p w14:paraId="54E7E484" w14:textId="69502684" w:rsidR="0064413A" w:rsidRPr="0064413A" w:rsidRDefault="00E344AA" w:rsidP="00204A7E">
            <w:pPr>
              <w:pStyle w:val="Tabletext"/>
              <w:spacing w:before="0"/>
            </w:pPr>
            <w:r>
              <w:fldChar w:fldCharType="begin"/>
            </w:r>
            <w:r>
              <w:instrText xml:space="preserve"> DOCPROPERTY  "Project Manager"  \* MERGEFORMAT </w:instrText>
            </w:r>
            <w:r>
              <w:fldChar w:fldCharType="separate"/>
            </w:r>
            <w:r w:rsidR="00BE5F47">
              <w:t>Simon Treadwell</w:t>
            </w:r>
            <w:r>
              <w:fldChar w:fldCharType="end"/>
            </w:r>
          </w:p>
        </w:tc>
      </w:tr>
      <w:tr w:rsidR="0064413A" w:rsidRPr="0064413A" w14:paraId="4CCF883C" w14:textId="77777777" w:rsidTr="00204A7E">
        <w:trPr>
          <w:trHeight w:val="284"/>
        </w:trPr>
        <w:tc>
          <w:tcPr>
            <w:tcW w:w="1000" w:type="pct"/>
          </w:tcPr>
          <w:p w14:paraId="45F8CDF0" w14:textId="77777777" w:rsidR="0064413A" w:rsidRPr="0064413A" w:rsidRDefault="0064413A" w:rsidP="00204A7E">
            <w:pPr>
              <w:pStyle w:val="Tabletext"/>
              <w:spacing w:before="0"/>
            </w:pPr>
            <w:r w:rsidRPr="0064413A">
              <w:t>Author:</w:t>
            </w:r>
          </w:p>
        </w:tc>
        <w:tc>
          <w:tcPr>
            <w:tcW w:w="4000" w:type="pct"/>
          </w:tcPr>
          <w:p w14:paraId="75014561" w14:textId="084B7DDB" w:rsidR="0064413A" w:rsidRPr="0064413A" w:rsidRDefault="00E344AA" w:rsidP="00204A7E">
            <w:pPr>
              <w:pStyle w:val="Tabletext"/>
              <w:spacing w:before="0"/>
            </w:pPr>
            <w:r>
              <w:fldChar w:fldCharType="begin"/>
            </w:r>
            <w:r>
              <w:instrText xml:space="preserve"> DOCPROPERTY  "Prepared By"  \* MERGEFORMAT </w:instrText>
            </w:r>
            <w:r>
              <w:fldChar w:fldCharType="separate"/>
            </w:r>
            <w:r w:rsidR="00BE5F47">
              <w:t>Fiona Gilbert</w:t>
            </w:r>
            <w:r>
              <w:fldChar w:fldCharType="end"/>
            </w:r>
            <w:r w:rsidR="00A21044">
              <w:t>, Simon Treadwell, Rebekah May</w:t>
            </w:r>
          </w:p>
        </w:tc>
      </w:tr>
      <w:tr w:rsidR="0064413A" w:rsidRPr="0064413A" w14:paraId="7C966688" w14:textId="77777777" w:rsidTr="00204A7E">
        <w:trPr>
          <w:trHeight w:val="284"/>
        </w:trPr>
        <w:tc>
          <w:tcPr>
            <w:tcW w:w="1000" w:type="pct"/>
          </w:tcPr>
          <w:p w14:paraId="50AA3226" w14:textId="77777777" w:rsidR="0064413A" w:rsidRPr="0064413A" w:rsidRDefault="0064413A" w:rsidP="00204A7E">
            <w:pPr>
              <w:pStyle w:val="Tabletext"/>
              <w:spacing w:before="0"/>
            </w:pPr>
            <w:r w:rsidRPr="0064413A">
              <w:t>File Name:</w:t>
            </w:r>
          </w:p>
        </w:tc>
        <w:tc>
          <w:tcPr>
            <w:tcW w:w="4000" w:type="pct"/>
          </w:tcPr>
          <w:p w14:paraId="2C52B92B" w14:textId="3DCF81D9" w:rsidR="0064413A" w:rsidRPr="0064413A" w:rsidRDefault="0064413A" w:rsidP="00204A7E">
            <w:pPr>
              <w:pStyle w:val="Tabletext"/>
              <w:spacing w:before="0"/>
            </w:pPr>
            <w:r w:rsidRPr="0064413A">
              <w:rPr>
                <w:noProof/>
              </w:rPr>
              <w:fldChar w:fldCharType="begin"/>
            </w:r>
            <w:r w:rsidRPr="0064413A">
              <w:rPr>
                <w:noProof/>
              </w:rPr>
              <w:instrText xml:space="preserve"> FILENAME   \* MERGEFORMAT </w:instrText>
            </w:r>
            <w:r w:rsidRPr="0064413A">
              <w:rPr>
                <w:noProof/>
              </w:rPr>
              <w:fldChar w:fldCharType="separate"/>
            </w:r>
            <w:r w:rsidR="00BE5F47">
              <w:rPr>
                <w:noProof/>
              </w:rPr>
              <w:t>Cardinia Creek Hydrological and Fish Risk Assessment_Draft risk assessment report_FINAL_RM</w:t>
            </w:r>
            <w:r w:rsidRPr="0064413A">
              <w:rPr>
                <w:noProof/>
              </w:rPr>
              <w:fldChar w:fldCharType="end"/>
            </w:r>
          </w:p>
        </w:tc>
      </w:tr>
      <w:tr w:rsidR="0064413A" w:rsidRPr="0064413A" w14:paraId="5FB5695A" w14:textId="77777777" w:rsidTr="00204A7E">
        <w:trPr>
          <w:trHeight w:hRule="exact" w:val="122"/>
        </w:trPr>
        <w:tc>
          <w:tcPr>
            <w:tcW w:w="5000" w:type="pct"/>
            <w:gridSpan w:val="2"/>
          </w:tcPr>
          <w:p w14:paraId="30E86D49" w14:textId="77777777" w:rsidR="0064413A" w:rsidRPr="0064413A" w:rsidRDefault="0064413A" w:rsidP="00204A7E">
            <w:pPr>
              <w:pStyle w:val="Tabletext"/>
            </w:pPr>
          </w:p>
        </w:tc>
      </w:tr>
      <w:tr w:rsidR="0064413A" w:rsidRPr="0064413A" w14:paraId="493F935C" w14:textId="77777777" w:rsidTr="00204A7E">
        <w:trPr>
          <w:trHeight w:val="2278"/>
        </w:trPr>
        <w:tc>
          <w:tcPr>
            <w:tcW w:w="5000" w:type="pct"/>
            <w:gridSpan w:val="2"/>
          </w:tcPr>
          <w:p w14:paraId="4D9787BF" w14:textId="4BDAF803" w:rsidR="0064413A" w:rsidRPr="0064413A" w:rsidRDefault="0064413A" w:rsidP="00204A7E">
            <w:pPr>
              <w:pStyle w:val="Tabletext"/>
              <w:spacing w:before="0" w:after="0"/>
            </w:pPr>
            <w:r w:rsidRPr="0064413A">
              <w:fldChar w:fldCharType="begin"/>
            </w:r>
            <w:r w:rsidRPr="0064413A">
              <w:instrText xml:space="preserve"> DOCVARIABLE  EntityOnly  </w:instrText>
            </w:r>
            <w:r w:rsidRPr="0064413A">
              <w:fldChar w:fldCharType="separate"/>
            </w:r>
            <w:r w:rsidR="00BE5F47">
              <w:t>Jacobs Group (Australia) Pty Limited</w:t>
            </w:r>
            <w:r w:rsidRPr="0064413A">
              <w:fldChar w:fldCharType="end"/>
            </w:r>
            <w:r w:rsidRPr="0064413A">
              <w:br/>
            </w:r>
            <w:r w:rsidRPr="0064413A">
              <w:fldChar w:fldCharType="begin"/>
            </w:r>
            <w:r w:rsidRPr="0064413A">
              <w:instrText xml:space="preserve"> DOCVARIABLE  CoverBusinessRegoNo  </w:instrText>
            </w:r>
            <w:r w:rsidRPr="0064413A">
              <w:fldChar w:fldCharType="separate"/>
            </w:r>
            <w:r w:rsidR="00BE5F47">
              <w:t>ABN 37 001 024 095</w:t>
            </w:r>
            <w:r w:rsidRPr="0064413A">
              <w:fldChar w:fldCharType="end"/>
            </w:r>
            <w:r w:rsidRPr="0064413A">
              <w:br/>
            </w:r>
            <w:r w:rsidRPr="0064413A">
              <w:fldChar w:fldCharType="begin"/>
            </w:r>
            <w:r w:rsidRPr="0064413A">
              <w:instrText xml:space="preserve"> DOCVARIABLE  Address  </w:instrText>
            </w:r>
            <w:r w:rsidRPr="0064413A">
              <w:fldChar w:fldCharType="separate"/>
            </w:r>
            <w:r w:rsidR="00BE5F47">
              <w:t>Floor 11, 452 Flinders Street</w:t>
            </w:r>
            <w:r w:rsidR="00BE5F47">
              <w:br/>
              <w:t>Melbourne VIC 3000</w:t>
            </w:r>
            <w:r w:rsidR="00BE5F47">
              <w:br/>
              <w:t>PO Box 312, Flinders Lane</w:t>
            </w:r>
            <w:r w:rsidR="00BE5F47">
              <w:br/>
              <w:t>Melbourne VIC 8009 Australia</w:t>
            </w:r>
            <w:r w:rsidRPr="0064413A">
              <w:fldChar w:fldCharType="end"/>
            </w:r>
            <w:r w:rsidRPr="0064413A">
              <w:br/>
            </w:r>
            <w:r w:rsidRPr="0064413A">
              <w:fldChar w:fldCharType="begin"/>
            </w:r>
            <w:r w:rsidRPr="0064413A">
              <w:instrText xml:space="preserve"> DOCVARIABLE  Phone  </w:instrText>
            </w:r>
            <w:r w:rsidRPr="0064413A">
              <w:fldChar w:fldCharType="separate"/>
            </w:r>
            <w:r w:rsidR="00BE5F47">
              <w:t>T +61 3 8668 3000</w:t>
            </w:r>
            <w:r w:rsidRPr="0064413A">
              <w:fldChar w:fldCharType="end"/>
            </w:r>
            <w:r w:rsidRPr="0064413A">
              <w:br/>
            </w:r>
            <w:r w:rsidRPr="0064413A">
              <w:fldChar w:fldCharType="begin"/>
            </w:r>
            <w:r w:rsidRPr="0064413A">
              <w:instrText xml:space="preserve"> DOCVARIABLE  Fax  </w:instrText>
            </w:r>
            <w:r w:rsidRPr="0064413A">
              <w:fldChar w:fldCharType="separate"/>
            </w:r>
            <w:r w:rsidR="00BE5F47">
              <w:t>F +61 3 8668 3001</w:t>
            </w:r>
            <w:r w:rsidRPr="0064413A">
              <w:fldChar w:fldCharType="end"/>
            </w:r>
            <w:r w:rsidRPr="0064413A">
              <w:br/>
            </w:r>
            <w:r w:rsidRPr="0064413A">
              <w:fldChar w:fldCharType="begin"/>
            </w:r>
            <w:r w:rsidRPr="0064413A">
              <w:instrText xml:space="preserve"> DOCVARIABLE  Web  </w:instrText>
            </w:r>
            <w:r w:rsidRPr="0064413A">
              <w:fldChar w:fldCharType="separate"/>
            </w:r>
            <w:r w:rsidR="00BE5F47">
              <w:t>www.jacobs.com</w:t>
            </w:r>
            <w:r w:rsidRPr="0064413A">
              <w:fldChar w:fldCharType="end"/>
            </w:r>
          </w:p>
        </w:tc>
      </w:tr>
      <w:tr w:rsidR="0064413A" w:rsidRPr="0064413A" w14:paraId="31BD69B1" w14:textId="77777777" w:rsidTr="00204A7E">
        <w:trPr>
          <w:trHeight w:val="1110"/>
        </w:trPr>
        <w:tc>
          <w:tcPr>
            <w:tcW w:w="5000" w:type="pct"/>
            <w:gridSpan w:val="2"/>
            <w:tcMar>
              <w:left w:w="28" w:type="dxa"/>
              <w:right w:w="28" w:type="dxa"/>
            </w:tcMar>
          </w:tcPr>
          <w:p w14:paraId="27051C9F" w14:textId="0BC79430" w:rsidR="0064413A" w:rsidRPr="0064413A" w:rsidRDefault="0064413A" w:rsidP="00204A7E">
            <w:pPr>
              <w:pStyle w:val="CopyrightInfo"/>
              <w:spacing w:after="240"/>
            </w:pPr>
            <w:r w:rsidRPr="0064413A">
              <w:t xml:space="preserve">© Copyright </w:t>
            </w:r>
            <w:r w:rsidRPr="0064413A">
              <w:fldChar w:fldCharType="begin"/>
            </w:r>
            <w:r w:rsidRPr="0064413A">
              <w:instrText xml:space="preserve"> CREATEDATE  \@ "2019"  </w:instrText>
            </w:r>
            <w:r w:rsidRPr="0064413A">
              <w:fldChar w:fldCharType="separate"/>
            </w:r>
            <w:r w:rsidR="00BE5F47">
              <w:rPr>
                <w:noProof/>
              </w:rPr>
              <w:t>2019</w:t>
            </w:r>
            <w:r w:rsidRPr="0064413A">
              <w:fldChar w:fldCharType="end"/>
            </w:r>
            <w:r w:rsidRPr="0064413A">
              <w:t xml:space="preserve"> </w:t>
            </w:r>
            <w:r w:rsidRPr="0064413A">
              <w:fldChar w:fldCharType="begin"/>
            </w:r>
            <w:r w:rsidRPr="0064413A">
              <w:instrText xml:space="preserve"> DOCVARIABLE  CoverCopyright  </w:instrText>
            </w:r>
            <w:r w:rsidRPr="0064413A">
              <w:fldChar w:fldCharType="separate"/>
            </w:r>
            <w:r w:rsidR="00BE5F47">
              <w:t>Jacobs Group (Australia) Pty Limited</w:t>
            </w:r>
            <w:r w:rsidRPr="0064413A">
              <w:fldChar w:fldCharType="end"/>
            </w:r>
            <w:r w:rsidRPr="0064413A">
              <w:t xml:space="preserve">. The concepts and information contained in this document are the property of </w:t>
            </w:r>
            <w:r w:rsidRPr="0064413A">
              <w:fldChar w:fldCharType="begin"/>
            </w:r>
            <w:r w:rsidRPr="0064413A">
              <w:instrText xml:space="preserve"> DOCVARIABLE  CoverLimitation  </w:instrText>
            </w:r>
            <w:r w:rsidRPr="0064413A">
              <w:fldChar w:fldCharType="separate"/>
            </w:r>
            <w:r w:rsidR="00BE5F47">
              <w:t>Jacobs</w:t>
            </w:r>
            <w:r w:rsidRPr="0064413A">
              <w:fldChar w:fldCharType="end"/>
            </w:r>
            <w:r w:rsidRPr="0064413A">
              <w:t xml:space="preserve">. Use or copying of this document in whole or in part without the written permission of </w:t>
            </w:r>
            <w:r w:rsidRPr="0064413A">
              <w:fldChar w:fldCharType="begin"/>
            </w:r>
            <w:r w:rsidRPr="0064413A">
              <w:instrText xml:space="preserve"> DOCVARIABLE  CoverLimitation  </w:instrText>
            </w:r>
            <w:r w:rsidRPr="0064413A">
              <w:fldChar w:fldCharType="separate"/>
            </w:r>
            <w:r w:rsidR="00BE5F47">
              <w:t>Jacobs</w:t>
            </w:r>
            <w:r w:rsidRPr="0064413A">
              <w:fldChar w:fldCharType="end"/>
            </w:r>
            <w:r w:rsidRPr="0064413A">
              <w:t xml:space="preserve"> constitutes an infringement of copyright.</w:t>
            </w:r>
          </w:p>
          <w:p w14:paraId="0A27BE55" w14:textId="21163B65" w:rsidR="0064413A" w:rsidRPr="0064413A" w:rsidRDefault="0064413A" w:rsidP="00204A7E">
            <w:pPr>
              <w:spacing w:before="200" w:after="240" w:line="180" w:lineRule="atLeast"/>
              <w:rPr>
                <w:sz w:val="14"/>
              </w:rPr>
            </w:pPr>
            <w:r w:rsidRPr="0064413A">
              <w:rPr>
                <w:sz w:val="14"/>
              </w:rPr>
              <w:t xml:space="preserve">Limitation:  This document has been prepared on behalf of, and for the exclusive use of </w:t>
            </w:r>
            <w:r w:rsidRPr="0064413A">
              <w:rPr>
                <w:sz w:val="14"/>
              </w:rPr>
              <w:fldChar w:fldCharType="begin"/>
            </w:r>
            <w:r w:rsidRPr="0064413A">
              <w:rPr>
                <w:sz w:val="14"/>
              </w:rPr>
              <w:instrText xml:space="preserve"> DOCVARIABLE  CoverLimitation  </w:instrText>
            </w:r>
            <w:r w:rsidRPr="0064413A">
              <w:rPr>
                <w:sz w:val="14"/>
              </w:rPr>
              <w:fldChar w:fldCharType="separate"/>
            </w:r>
            <w:r w:rsidR="00BE5F47">
              <w:rPr>
                <w:sz w:val="14"/>
              </w:rPr>
              <w:t>Jacobs</w:t>
            </w:r>
            <w:r w:rsidRPr="0064413A">
              <w:rPr>
                <w:sz w:val="14"/>
              </w:rPr>
              <w:fldChar w:fldCharType="end"/>
            </w:r>
            <w:r w:rsidRPr="0064413A">
              <w:rPr>
                <w:sz w:val="14"/>
              </w:rPr>
              <w:t xml:space="preserve">’ client, and is subject to, and issued in accordance with, the provisions of the contract between </w:t>
            </w:r>
            <w:r w:rsidRPr="0064413A">
              <w:rPr>
                <w:sz w:val="14"/>
              </w:rPr>
              <w:fldChar w:fldCharType="begin"/>
            </w:r>
            <w:r w:rsidRPr="0064413A">
              <w:rPr>
                <w:sz w:val="14"/>
              </w:rPr>
              <w:instrText xml:space="preserve"> DOCVARIABLE  CoverLimitation  </w:instrText>
            </w:r>
            <w:r w:rsidRPr="0064413A">
              <w:rPr>
                <w:sz w:val="14"/>
              </w:rPr>
              <w:fldChar w:fldCharType="separate"/>
            </w:r>
            <w:r w:rsidR="00BE5F47">
              <w:rPr>
                <w:sz w:val="14"/>
              </w:rPr>
              <w:t>Jacobs</w:t>
            </w:r>
            <w:r w:rsidRPr="0064413A">
              <w:rPr>
                <w:sz w:val="14"/>
              </w:rPr>
              <w:fldChar w:fldCharType="end"/>
            </w:r>
            <w:r w:rsidRPr="0064413A">
              <w:rPr>
                <w:sz w:val="14"/>
              </w:rPr>
              <w:t xml:space="preserve"> and the client.  </w:t>
            </w:r>
            <w:r w:rsidRPr="0064413A">
              <w:rPr>
                <w:sz w:val="14"/>
              </w:rPr>
              <w:fldChar w:fldCharType="begin"/>
            </w:r>
            <w:r w:rsidRPr="0064413A">
              <w:rPr>
                <w:sz w:val="14"/>
              </w:rPr>
              <w:instrText xml:space="preserve"> DOCVARIABLE  CoverLimitation  </w:instrText>
            </w:r>
            <w:r w:rsidRPr="0064413A">
              <w:rPr>
                <w:sz w:val="14"/>
              </w:rPr>
              <w:fldChar w:fldCharType="separate"/>
            </w:r>
            <w:r w:rsidR="00BE5F47">
              <w:rPr>
                <w:sz w:val="14"/>
              </w:rPr>
              <w:t>Jacobs</w:t>
            </w:r>
            <w:r w:rsidRPr="0064413A">
              <w:rPr>
                <w:sz w:val="14"/>
              </w:rPr>
              <w:fldChar w:fldCharType="end"/>
            </w:r>
            <w:r w:rsidRPr="0064413A">
              <w:rPr>
                <w:sz w:val="14"/>
              </w:rPr>
              <w:t xml:space="preserve"> accepts no liability or responsibility whatsoever for, or in respect of, any use of, or reliance upon, this document by any third party. </w:t>
            </w:r>
          </w:p>
        </w:tc>
      </w:tr>
    </w:tbl>
    <w:p w14:paraId="4A8C8896" w14:textId="77777777" w:rsidR="0064413A" w:rsidRPr="0064413A" w:rsidRDefault="0064413A" w:rsidP="00204A7E">
      <w:pPr>
        <w:pStyle w:val="Tablecaption"/>
      </w:pPr>
      <w:r w:rsidRPr="0064413A">
        <w:t>Document history and status</w:t>
      </w:r>
    </w:p>
    <w:tbl>
      <w:tblPr>
        <w:tblStyle w:val="TableGrid"/>
        <w:tblW w:w="4957" w:type="pct"/>
        <w:tblBorders>
          <w:top w:val="single" w:sz="2" w:space="0" w:color="C8C8C8" w:themeColor="accent6"/>
          <w:left w:val="single" w:sz="2" w:space="0" w:color="C8C8C8" w:themeColor="accent6"/>
          <w:bottom w:val="single" w:sz="2" w:space="0" w:color="C8C8C8" w:themeColor="accent6"/>
          <w:right w:val="single" w:sz="2" w:space="0" w:color="C8C8C8" w:themeColor="accent6"/>
          <w:insideH w:val="single" w:sz="2" w:space="0" w:color="C8C8C8" w:themeColor="accent6"/>
          <w:insideV w:val="single" w:sz="2" w:space="0" w:color="C8C8C8" w:themeColor="accent6"/>
        </w:tblBorders>
        <w:tblCellMar>
          <w:left w:w="85" w:type="dxa"/>
          <w:right w:w="85" w:type="dxa"/>
        </w:tblCellMar>
        <w:tblLook w:val="04A0" w:firstRow="1" w:lastRow="0" w:firstColumn="1" w:lastColumn="0" w:noHBand="0" w:noVBand="1"/>
      </w:tblPr>
      <w:tblGrid>
        <w:gridCol w:w="1066"/>
        <w:gridCol w:w="993"/>
        <w:gridCol w:w="3711"/>
        <w:gridCol w:w="989"/>
        <w:gridCol w:w="991"/>
        <w:gridCol w:w="1024"/>
        <w:gridCol w:w="1051"/>
      </w:tblGrid>
      <w:tr w:rsidR="0064413A" w:rsidRPr="0064413A" w14:paraId="7437D980" w14:textId="77777777" w:rsidTr="00204A7E">
        <w:trPr>
          <w:cantSplit/>
          <w:tblHeader/>
        </w:trPr>
        <w:tc>
          <w:tcPr>
            <w:tcW w:w="1068" w:type="dxa"/>
            <w:shd w:val="clear" w:color="auto" w:fill="E5E5E5" w:themeFill="background2"/>
          </w:tcPr>
          <w:p w14:paraId="0C60C1CE" w14:textId="77777777" w:rsidR="0064413A" w:rsidRPr="0064413A" w:rsidRDefault="0064413A" w:rsidP="00204A7E">
            <w:pPr>
              <w:pStyle w:val="Tablesmallheading"/>
            </w:pPr>
            <w:r w:rsidRPr="0064413A">
              <w:t>Revision</w:t>
            </w:r>
          </w:p>
        </w:tc>
        <w:tc>
          <w:tcPr>
            <w:tcW w:w="963" w:type="dxa"/>
            <w:shd w:val="clear" w:color="auto" w:fill="E5E5E5" w:themeFill="background2"/>
          </w:tcPr>
          <w:p w14:paraId="76F7B11B" w14:textId="77777777" w:rsidR="0064413A" w:rsidRPr="0064413A" w:rsidRDefault="0064413A" w:rsidP="00204A7E">
            <w:pPr>
              <w:pStyle w:val="Tablesmallheading"/>
            </w:pPr>
            <w:r w:rsidRPr="0064413A">
              <w:t>Date</w:t>
            </w:r>
          </w:p>
        </w:tc>
        <w:tc>
          <w:tcPr>
            <w:tcW w:w="3749" w:type="dxa"/>
            <w:shd w:val="clear" w:color="auto" w:fill="E5E5E5" w:themeFill="background2"/>
          </w:tcPr>
          <w:p w14:paraId="17525EA2" w14:textId="77777777" w:rsidR="0064413A" w:rsidRPr="0064413A" w:rsidRDefault="0064413A" w:rsidP="00204A7E">
            <w:pPr>
              <w:pStyle w:val="Tablesmallheading"/>
            </w:pPr>
            <w:r w:rsidRPr="0064413A">
              <w:t>Description</w:t>
            </w:r>
          </w:p>
        </w:tc>
        <w:tc>
          <w:tcPr>
            <w:tcW w:w="992" w:type="dxa"/>
            <w:shd w:val="clear" w:color="auto" w:fill="E5E5E5" w:themeFill="background2"/>
          </w:tcPr>
          <w:p w14:paraId="4E053036" w14:textId="77777777" w:rsidR="0064413A" w:rsidRPr="0064413A" w:rsidRDefault="0064413A" w:rsidP="00204A7E">
            <w:pPr>
              <w:pStyle w:val="Tablesmallheading"/>
            </w:pPr>
            <w:r w:rsidRPr="0064413A">
              <w:t>Author</w:t>
            </w:r>
          </w:p>
        </w:tc>
        <w:tc>
          <w:tcPr>
            <w:tcW w:w="992" w:type="dxa"/>
            <w:shd w:val="clear" w:color="auto" w:fill="E5E5E5" w:themeFill="background2"/>
          </w:tcPr>
          <w:p w14:paraId="38176CC5" w14:textId="77777777" w:rsidR="0064413A" w:rsidRPr="0064413A" w:rsidRDefault="0064413A" w:rsidP="00204A7E">
            <w:pPr>
              <w:pStyle w:val="Tablesmallheading"/>
            </w:pPr>
            <w:r w:rsidRPr="0064413A">
              <w:t>Checked</w:t>
            </w:r>
          </w:p>
        </w:tc>
        <w:tc>
          <w:tcPr>
            <w:tcW w:w="992" w:type="dxa"/>
            <w:shd w:val="clear" w:color="auto" w:fill="E5E5E5" w:themeFill="background2"/>
          </w:tcPr>
          <w:p w14:paraId="75B4A3A5" w14:textId="77777777" w:rsidR="0064413A" w:rsidRPr="0064413A" w:rsidRDefault="0064413A" w:rsidP="00204A7E">
            <w:pPr>
              <w:pStyle w:val="Tablesmallheading"/>
            </w:pPr>
            <w:r w:rsidRPr="0064413A">
              <w:t>Reviewed</w:t>
            </w:r>
          </w:p>
        </w:tc>
        <w:tc>
          <w:tcPr>
            <w:tcW w:w="992" w:type="dxa"/>
            <w:shd w:val="clear" w:color="auto" w:fill="E5E5E5" w:themeFill="background2"/>
          </w:tcPr>
          <w:p w14:paraId="2DF6E83B" w14:textId="77777777" w:rsidR="0064413A" w:rsidRPr="0064413A" w:rsidRDefault="0064413A" w:rsidP="00204A7E">
            <w:pPr>
              <w:pStyle w:val="Tablesmallheading"/>
            </w:pPr>
            <w:r w:rsidRPr="0064413A">
              <w:t>Approved</w:t>
            </w:r>
          </w:p>
        </w:tc>
      </w:tr>
      <w:tr w:rsidR="0064413A" w:rsidRPr="0064413A" w14:paraId="7F347FA0" w14:textId="77777777" w:rsidTr="00204A7E">
        <w:trPr>
          <w:cantSplit/>
        </w:trPr>
        <w:tc>
          <w:tcPr>
            <w:tcW w:w="1068" w:type="dxa"/>
          </w:tcPr>
          <w:p w14:paraId="1D9FFAF0" w14:textId="581B4442" w:rsidR="0064413A" w:rsidRPr="0064413A" w:rsidRDefault="00F755FB" w:rsidP="00204A7E">
            <w:pPr>
              <w:pStyle w:val="Tablesmalltext"/>
            </w:pPr>
            <w:r>
              <w:t>1</w:t>
            </w:r>
          </w:p>
        </w:tc>
        <w:tc>
          <w:tcPr>
            <w:tcW w:w="963" w:type="dxa"/>
          </w:tcPr>
          <w:p w14:paraId="1D6A9159" w14:textId="2470C1ED" w:rsidR="0064413A" w:rsidRPr="0064413A" w:rsidRDefault="00F755FB" w:rsidP="00204A7E">
            <w:pPr>
              <w:pStyle w:val="Tablesmalltext"/>
            </w:pPr>
            <w:r>
              <w:t>1/6/2020</w:t>
            </w:r>
          </w:p>
        </w:tc>
        <w:tc>
          <w:tcPr>
            <w:tcW w:w="3749" w:type="dxa"/>
          </w:tcPr>
          <w:p w14:paraId="1C56B3BD" w14:textId="5AEC382E" w:rsidR="0064413A" w:rsidRPr="0064413A" w:rsidRDefault="00F755FB" w:rsidP="00204A7E">
            <w:pPr>
              <w:pStyle w:val="Tablesmalltext"/>
            </w:pPr>
            <w:r>
              <w:t>Draft 1</w:t>
            </w:r>
          </w:p>
        </w:tc>
        <w:tc>
          <w:tcPr>
            <w:tcW w:w="992" w:type="dxa"/>
          </w:tcPr>
          <w:p w14:paraId="453A1A2C" w14:textId="63C10759" w:rsidR="0064413A" w:rsidRPr="0064413A" w:rsidRDefault="00F755FB" w:rsidP="00204A7E">
            <w:pPr>
              <w:pStyle w:val="Tablesmalltext"/>
            </w:pPr>
            <w:r>
              <w:t>FG ST</w:t>
            </w:r>
          </w:p>
        </w:tc>
        <w:tc>
          <w:tcPr>
            <w:tcW w:w="992" w:type="dxa"/>
          </w:tcPr>
          <w:p w14:paraId="610AF2E2" w14:textId="77777777" w:rsidR="0064413A" w:rsidRPr="0064413A" w:rsidRDefault="0064413A" w:rsidP="00204A7E">
            <w:pPr>
              <w:pStyle w:val="Tablesmalltext"/>
            </w:pPr>
          </w:p>
        </w:tc>
        <w:tc>
          <w:tcPr>
            <w:tcW w:w="992" w:type="dxa"/>
          </w:tcPr>
          <w:p w14:paraId="7C14AD54" w14:textId="77777777" w:rsidR="0064413A" w:rsidRPr="0064413A" w:rsidRDefault="0064413A" w:rsidP="00204A7E">
            <w:pPr>
              <w:pStyle w:val="Tablesmalltext"/>
            </w:pPr>
          </w:p>
        </w:tc>
        <w:tc>
          <w:tcPr>
            <w:tcW w:w="992" w:type="dxa"/>
          </w:tcPr>
          <w:p w14:paraId="404A5891" w14:textId="77777777" w:rsidR="0064413A" w:rsidRPr="0064413A" w:rsidRDefault="0064413A" w:rsidP="00204A7E">
            <w:pPr>
              <w:pStyle w:val="Tablesmalltext"/>
            </w:pPr>
          </w:p>
        </w:tc>
      </w:tr>
      <w:tr w:rsidR="0064413A" w:rsidRPr="0064413A" w14:paraId="32499E86" w14:textId="77777777" w:rsidTr="00204A7E">
        <w:trPr>
          <w:cantSplit/>
        </w:trPr>
        <w:tc>
          <w:tcPr>
            <w:tcW w:w="1068" w:type="dxa"/>
          </w:tcPr>
          <w:p w14:paraId="1C110BDF" w14:textId="537DB886" w:rsidR="0064413A" w:rsidRPr="0064413A" w:rsidRDefault="00F755FB" w:rsidP="00204A7E">
            <w:pPr>
              <w:pStyle w:val="Tablesmalltext"/>
            </w:pPr>
            <w:r>
              <w:t>2</w:t>
            </w:r>
          </w:p>
        </w:tc>
        <w:tc>
          <w:tcPr>
            <w:tcW w:w="963" w:type="dxa"/>
          </w:tcPr>
          <w:p w14:paraId="55012F78" w14:textId="3DFBE69D" w:rsidR="0064413A" w:rsidRPr="0064413A" w:rsidRDefault="00F755FB" w:rsidP="00204A7E">
            <w:pPr>
              <w:pStyle w:val="Tablesmalltext"/>
            </w:pPr>
            <w:r>
              <w:t>6/6/2020</w:t>
            </w:r>
          </w:p>
        </w:tc>
        <w:tc>
          <w:tcPr>
            <w:tcW w:w="3749" w:type="dxa"/>
          </w:tcPr>
          <w:p w14:paraId="2986F70C" w14:textId="3D7769CC" w:rsidR="0064413A" w:rsidRPr="0064413A" w:rsidRDefault="00F755FB" w:rsidP="00204A7E">
            <w:pPr>
              <w:pStyle w:val="Tablesmalltext"/>
            </w:pPr>
            <w:r>
              <w:t>Draft 2</w:t>
            </w:r>
          </w:p>
        </w:tc>
        <w:tc>
          <w:tcPr>
            <w:tcW w:w="992" w:type="dxa"/>
          </w:tcPr>
          <w:p w14:paraId="39C042C7" w14:textId="6F4DDBEB" w:rsidR="0064413A" w:rsidRPr="0064413A" w:rsidRDefault="00F755FB" w:rsidP="00204A7E">
            <w:pPr>
              <w:pStyle w:val="Tablesmalltext"/>
            </w:pPr>
            <w:r>
              <w:t>FG ST</w:t>
            </w:r>
          </w:p>
        </w:tc>
        <w:tc>
          <w:tcPr>
            <w:tcW w:w="992" w:type="dxa"/>
          </w:tcPr>
          <w:p w14:paraId="1FCEA7B5" w14:textId="77777777" w:rsidR="0064413A" w:rsidRPr="0064413A" w:rsidRDefault="0064413A" w:rsidP="00204A7E">
            <w:pPr>
              <w:pStyle w:val="Tablesmalltext"/>
            </w:pPr>
          </w:p>
        </w:tc>
        <w:tc>
          <w:tcPr>
            <w:tcW w:w="992" w:type="dxa"/>
          </w:tcPr>
          <w:p w14:paraId="5604954E" w14:textId="77777777" w:rsidR="0064413A" w:rsidRPr="0064413A" w:rsidRDefault="0064413A" w:rsidP="00204A7E">
            <w:pPr>
              <w:pStyle w:val="Tablesmalltext"/>
            </w:pPr>
          </w:p>
        </w:tc>
        <w:tc>
          <w:tcPr>
            <w:tcW w:w="992" w:type="dxa"/>
          </w:tcPr>
          <w:p w14:paraId="08E0C747" w14:textId="77777777" w:rsidR="0064413A" w:rsidRPr="0064413A" w:rsidRDefault="0064413A" w:rsidP="00204A7E">
            <w:pPr>
              <w:pStyle w:val="Tablesmalltext"/>
            </w:pPr>
          </w:p>
        </w:tc>
      </w:tr>
      <w:tr w:rsidR="0064413A" w:rsidRPr="0064413A" w14:paraId="321C27EE" w14:textId="77777777" w:rsidTr="00204A7E">
        <w:trPr>
          <w:cantSplit/>
        </w:trPr>
        <w:tc>
          <w:tcPr>
            <w:tcW w:w="1068" w:type="dxa"/>
          </w:tcPr>
          <w:p w14:paraId="4D534934" w14:textId="3C6FF552" w:rsidR="0064413A" w:rsidRPr="0064413A" w:rsidRDefault="00F755FB" w:rsidP="00204A7E">
            <w:pPr>
              <w:pStyle w:val="Tablesmalltext"/>
            </w:pPr>
            <w:r>
              <w:t>3</w:t>
            </w:r>
          </w:p>
        </w:tc>
        <w:tc>
          <w:tcPr>
            <w:tcW w:w="963" w:type="dxa"/>
          </w:tcPr>
          <w:p w14:paraId="0F2C3785" w14:textId="25956A10" w:rsidR="0064413A" w:rsidRPr="0064413A" w:rsidRDefault="00F755FB" w:rsidP="00204A7E">
            <w:pPr>
              <w:pStyle w:val="Tablesmalltext"/>
            </w:pPr>
            <w:r>
              <w:t>12/6/2020</w:t>
            </w:r>
          </w:p>
        </w:tc>
        <w:tc>
          <w:tcPr>
            <w:tcW w:w="3749" w:type="dxa"/>
          </w:tcPr>
          <w:p w14:paraId="2E5AA4D0" w14:textId="76E37581" w:rsidR="0064413A" w:rsidRPr="0064413A" w:rsidRDefault="00F755FB" w:rsidP="00204A7E">
            <w:pPr>
              <w:pStyle w:val="Tablesmalltext"/>
            </w:pPr>
            <w:r>
              <w:t>Draft 3 for client and stakeholder comment</w:t>
            </w:r>
          </w:p>
        </w:tc>
        <w:tc>
          <w:tcPr>
            <w:tcW w:w="992" w:type="dxa"/>
          </w:tcPr>
          <w:p w14:paraId="66717B94" w14:textId="06E81D44" w:rsidR="0064413A" w:rsidRPr="0064413A" w:rsidRDefault="00F755FB" w:rsidP="00204A7E">
            <w:pPr>
              <w:pStyle w:val="Tablesmalltext"/>
            </w:pPr>
            <w:r>
              <w:t>FG ST</w:t>
            </w:r>
          </w:p>
        </w:tc>
        <w:tc>
          <w:tcPr>
            <w:tcW w:w="992" w:type="dxa"/>
          </w:tcPr>
          <w:p w14:paraId="2A9EC990" w14:textId="690F313F" w:rsidR="0064413A" w:rsidRPr="0064413A" w:rsidRDefault="00F755FB" w:rsidP="00204A7E">
            <w:pPr>
              <w:pStyle w:val="Tablesmalltext"/>
            </w:pPr>
            <w:r>
              <w:t>ST</w:t>
            </w:r>
          </w:p>
        </w:tc>
        <w:tc>
          <w:tcPr>
            <w:tcW w:w="992" w:type="dxa"/>
          </w:tcPr>
          <w:p w14:paraId="28A76943" w14:textId="498BAE87" w:rsidR="0064413A" w:rsidRPr="0064413A" w:rsidRDefault="00F755FB" w:rsidP="00204A7E">
            <w:pPr>
              <w:pStyle w:val="Tablesmalltext"/>
            </w:pPr>
            <w:r>
              <w:t>ST</w:t>
            </w:r>
          </w:p>
        </w:tc>
        <w:tc>
          <w:tcPr>
            <w:tcW w:w="992" w:type="dxa"/>
          </w:tcPr>
          <w:p w14:paraId="397E01E9" w14:textId="40D36E6E" w:rsidR="0064413A" w:rsidRPr="0064413A" w:rsidRDefault="00F755FB" w:rsidP="00204A7E">
            <w:pPr>
              <w:pStyle w:val="Tablesmalltext"/>
            </w:pPr>
            <w:r>
              <w:t>ST</w:t>
            </w:r>
          </w:p>
        </w:tc>
      </w:tr>
      <w:tr w:rsidR="0064413A" w:rsidRPr="0064413A" w14:paraId="4DB3E901" w14:textId="77777777" w:rsidTr="00204A7E">
        <w:trPr>
          <w:cantSplit/>
        </w:trPr>
        <w:tc>
          <w:tcPr>
            <w:tcW w:w="1068" w:type="dxa"/>
          </w:tcPr>
          <w:p w14:paraId="7D349898" w14:textId="4A9F7E9B" w:rsidR="0064413A" w:rsidRPr="0064413A" w:rsidRDefault="00851780" w:rsidP="00204A7E">
            <w:pPr>
              <w:pStyle w:val="Tablesmalltext"/>
            </w:pPr>
            <w:r>
              <w:t>4</w:t>
            </w:r>
          </w:p>
        </w:tc>
        <w:tc>
          <w:tcPr>
            <w:tcW w:w="963" w:type="dxa"/>
          </w:tcPr>
          <w:p w14:paraId="65CEF5D4" w14:textId="00133A71" w:rsidR="0064413A" w:rsidRPr="0064413A" w:rsidRDefault="00851780" w:rsidP="00204A7E">
            <w:pPr>
              <w:pStyle w:val="Tablesmalltext"/>
            </w:pPr>
            <w:r>
              <w:t>1</w:t>
            </w:r>
            <w:r w:rsidR="00BE5F47">
              <w:t>6</w:t>
            </w:r>
            <w:r>
              <w:t>/4/2021</w:t>
            </w:r>
          </w:p>
        </w:tc>
        <w:tc>
          <w:tcPr>
            <w:tcW w:w="3749" w:type="dxa"/>
          </w:tcPr>
          <w:p w14:paraId="4FB9B489" w14:textId="329D91FC" w:rsidR="0064413A" w:rsidRPr="0064413A" w:rsidRDefault="00851780" w:rsidP="00204A7E">
            <w:pPr>
              <w:pStyle w:val="Tablesmalltext"/>
            </w:pPr>
            <w:r>
              <w:t>Final</w:t>
            </w:r>
          </w:p>
        </w:tc>
        <w:tc>
          <w:tcPr>
            <w:tcW w:w="992" w:type="dxa"/>
          </w:tcPr>
          <w:p w14:paraId="224FC28A" w14:textId="2950274A" w:rsidR="0064413A" w:rsidRPr="0064413A" w:rsidRDefault="00851780" w:rsidP="00204A7E">
            <w:pPr>
              <w:pStyle w:val="Tablesmalltext"/>
            </w:pPr>
            <w:r>
              <w:t>FG, ST, LC</w:t>
            </w:r>
          </w:p>
        </w:tc>
        <w:tc>
          <w:tcPr>
            <w:tcW w:w="992" w:type="dxa"/>
          </w:tcPr>
          <w:p w14:paraId="68E6E8A5" w14:textId="05814248" w:rsidR="0064413A" w:rsidRPr="0064413A" w:rsidRDefault="00851780" w:rsidP="00204A7E">
            <w:pPr>
              <w:pStyle w:val="Tablesmalltext"/>
            </w:pPr>
            <w:r>
              <w:t>ST</w:t>
            </w:r>
          </w:p>
        </w:tc>
        <w:tc>
          <w:tcPr>
            <w:tcW w:w="992" w:type="dxa"/>
          </w:tcPr>
          <w:p w14:paraId="7D77EAD6" w14:textId="7D8172AD" w:rsidR="0064413A" w:rsidRPr="0064413A" w:rsidRDefault="00851780" w:rsidP="00204A7E">
            <w:pPr>
              <w:pStyle w:val="Tablesmalltext"/>
            </w:pPr>
            <w:r>
              <w:t>ST</w:t>
            </w:r>
          </w:p>
        </w:tc>
        <w:tc>
          <w:tcPr>
            <w:tcW w:w="992" w:type="dxa"/>
          </w:tcPr>
          <w:p w14:paraId="7C791F55" w14:textId="66048A4F" w:rsidR="0064413A" w:rsidRPr="0064413A" w:rsidRDefault="00851780" w:rsidP="00204A7E">
            <w:pPr>
              <w:pStyle w:val="Tablesmalltext"/>
            </w:pPr>
            <w:r>
              <w:t>ST</w:t>
            </w:r>
          </w:p>
        </w:tc>
      </w:tr>
      <w:tr w:rsidR="0064413A" w:rsidRPr="0064413A" w14:paraId="39E8BCE6" w14:textId="77777777" w:rsidTr="00204A7E">
        <w:trPr>
          <w:cantSplit/>
        </w:trPr>
        <w:tc>
          <w:tcPr>
            <w:tcW w:w="1068" w:type="dxa"/>
          </w:tcPr>
          <w:p w14:paraId="09FE9F36" w14:textId="77777777" w:rsidR="0064413A" w:rsidRPr="0064413A" w:rsidRDefault="0064413A" w:rsidP="00204A7E">
            <w:pPr>
              <w:pStyle w:val="Tablesmalltext"/>
            </w:pPr>
          </w:p>
        </w:tc>
        <w:tc>
          <w:tcPr>
            <w:tcW w:w="963" w:type="dxa"/>
          </w:tcPr>
          <w:p w14:paraId="082E97EA" w14:textId="77777777" w:rsidR="0064413A" w:rsidRPr="0064413A" w:rsidRDefault="0064413A" w:rsidP="00204A7E">
            <w:pPr>
              <w:pStyle w:val="Tablesmalltext"/>
            </w:pPr>
          </w:p>
        </w:tc>
        <w:tc>
          <w:tcPr>
            <w:tcW w:w="3749" w:type="dxa"/>
          </w:tcPr>
          <w:p w14:paraId="7E868F72" w14:textId="77777777" w:rsidR="0064413A" w:rsidRPr="0064413A" w:rsidRDefault="0064413A" w:rsidP="00204A7E">
            <w:pPr>
              <w:pStyle w:val="Tablesmalltext"/>
            </w:pPr>
          </w:p>
        </w:tc>
        <w:tc>
          <w:tcPr>
            <w:tcW w:w="992" w:type="dxa"/>
          </w:tcPr>
          <w:p w14:paraId="0B3A0566" w14:textId="77777777" w:rsidR="0064413A" w:rsidRPr="0064413A" w:rsidRDefault="0064413A" w:rsidP="00204A7E">
            <w:pPr>
              <w:pStyle w:val="Tablesmalltext"/>
            </w:pPr>
          </w:p>
        </w:tc>
        <w:tc>
          <w:tcPr>
            <w:tcW w:w="992" w:type="dxa"/>
          </w:tcPr>
          <w:p w14:paraId="4BEDCCA2" w14:textId="77777777" w:rsidR="0064413A" w:rsidRPr="0064413A" w:rsidRDefault="0064413A" w:rsidP="00204A7E">
            <w:pPr>
              <w:pStyle w:val="Tablesmalltext"/>
            </w:pPr>
          </w:p>
        </w:tc>
        <w:tc>
          <w:tcPr>
            <w:tcW w:w="992" w:type="dxa"/>
          </w:tcPr>
          <w:p w14:paraId="7CD02DA0" w14:textId="77777777" w:rsidR="0064413A" w:rsidRPr="0064413A" w:rsidRDefault="0064413A" w:rsidP="00204A7E">
            <w:pPr>
              <w:pStyle w:val="Tablesmalltext"/>
            </w:pPr>
          </w:p>
        </w:tc>
        <w:tc>
          <w:tcPr>
            <w:tcW w:w="992" w:type="dxa"/>
          </w:tcPr>
          <w:p w14:paraId="59735DF7" w14:textId="77777777" w:rsidR="0064413A" w:rsidRPr="0064413A" w:rsidRDefault="0064413A" w:rsidP="00204A7E">
            <w:pPr>
              <w:pStyle w:val="Tablesmalltext"/>
            </w:pPr>
          </w:p>
        </w:tc>
      </w:tr>
      <w:tr w:rsidR="0064413A" w:rsidRPr="0064413A" w14:paraId="18CC3601" w14:textId="77777777" w:rsidTr="00204A7E">
        <w:trPr>
          <w:cantSplit/>
        </w:trPr>
        <w:tc>
          <w:tcPr>
            <w:tcW w:w="1068" w:type="dxa"/>
          </w:tcPr>
          <w:p w14:paraId="30A39A2C" w14:textId="77777777" w:rsidR="0064413A" w:rsidRPr="0064413A" w:rsidRDefault="0064413A" w:rsidP="00204A7E">
            <w:pPr>
              <w:pStyle w:val="Tablesmalltext"/>
            </w:pPr>
          </w:p>
        </w:tc>
        <w:tc>
          <w:tcPr>
            <w:tcW w:w="963" w:type="dxa"/>
          </w:tcPr>
          <w:p w14:paraId="0F5E62ED" w14:textId="77777777" w:rsidR="0064413A" w:rsidRPr="0064413A" w:rsidRDefault="0064413A" w:rsidP="00204A7E">
            <w:pPr>
              <w:pStyle w:val="Tablesmalltext"/>
            </w:pPr>
          </w:p>
        </w:tc>
        <w:tc>
          <w:tcPr>
            <w:tcW w:w="3749" w:type="dxa"/>
          </w:tcPr>
          <w:p w14:paraId="3305E8E1" w14:textId="77777777" w:rsidR="0064413A" w:rsidRPr="0064413A" w:rsidRDefault="0064413A" w:rsidP="00204A7E">
            <w:pPr>
              <w:pStyle w:val="Tablesmalltext"/>
            </w:pPr>
          </w:p>
        </w:tc>
        <w:tc>
          <w:tcPr>
            <w:tcW w:w="992" w:type="dxa"/>
          </w:tcPr>
          <w:p w14:paraId="04C3BDDC" w14:textId="77777777" w:rsidR="0064413A" w:rsidRPr="0064413A" w:rsidRDefault="0064413A" w:rsidP="00204A7E">
            <w:pPr>
              <w:pStyle w:val="Tablesmalltext"/>
            </w:pPr>
          </w:p>
        </w:tc>
        <w:tc>
          <w:tcPr>
            <w:tcW w:w="992" w:type="dxa"/>
          </w:tcPr>
          <w:p w14:paraId="64574449" w14:textId="77777777" w:rsidR="0064413A" w:rsidRPr="0064413A" w:rsidRDefault="0064413A" w:rsidP="00204A7E">
            <w:pPr>
              <w:pStyle w:val="Tablesmalltext"/>
            </w:pPr>
          </w:p>
        </w:tc>
        <w:tc>
          <w:tcPr>
            <w:tcW w:w="992" w:type="dxa"/>
          </w:tcPr>
          <w:p w14:paraId="02E39A89" w14:textId="77777777" w:rsidR="0064413A" w:rsidRPr="0064413A" w:rsidRDefault="0064413A" w:rsidP="00204A7E">
            <w:pPr>
              <w:pStyle w:val="Tablesmalltext"/>
            </w:pPr>
          </w:p>
        </w:tc>
        <w:tc>
          <w:tcPr>
            <w:tcW w:w="992" w:type="dxa"/>
          </w:tcPr>
          <w:p w14:paraId="70AC3077" w14:textId="77777777" w:rsidR="0064413A" w:rsidRPr="0064413A" w:rsidRDefault="0064413A" w:rsidP="00204A7E">
            <w:pPr>
              <w:pStyle w:val="Tablesmalltext"/>
            </w:pPr>
          </w:p>
        </w:tc>
      </w:tr>
    </w:tbl>
    <w:p w14:paraId="6D4076A3" w14:textId="77777777" w:rsidR="0064413A" w:rsidRPr="0064413A" w:rsidRDefault="0064413A" w:rsidP="00204A7E">
      <w:pPr>
        <w:pStyle w:val="Contents"/>
      </w:pPr>
      <w:r w:rsidRPr="0064413A">
        <w:lastRenderedPageBreak/>
        <w:t>Contents</w:t>
      </w:r>
    </w:p>
    <w:sdt>
      <w:sdtPr>
        <w:rPr>
          <w:b w:val="0"/>
          <w:noProof w:val="0"/>
        </w:rPr>
        <w:id w:val="243461376"/>
        <w:docPartObj>
          <w:docPartGallery w:val="Table of Contents"/>
          <w:docPartUnique/>
        </w:docPartObj>
      </w:sdtPr>
      <w:sdtEndPr>
        <w:rPr>
          <w:b/>
          <w:noProof/>
        </w:rPr>
      </w:sdtEndPr>
      <w:sdtContent>
        <w:p w14:paraId="49591C2E" w14:textId="414DD945" w:rsidR="00011585" w:rsidRDefault="0064413A">
          <w:pPr>
            <w:pStyle w:val="TOC1"/>
            <w:rPr>
              <w:rFonts w:asciiTheme="minorHAnsi" w:hAnsiTheme="minorHAnsi" w:cstheme="minorBidi"/>
              <w:b w:val="0"/>
              <w:sz w:val="22"/>
              <w:szCs w:val="22"/>
              <w:lang w:val="en-AU" w:eastAsia="en-AU"/>
            </w:rPr>
          </w:pPr>
          <w:r w:rsidRPr="0064413A">
            <w:fldChar w:fldCharType="begin"/>
          </w:r>
          <w:r w:rsidRPr="0064413A">
            <w:instrText xml:space="preserve"> TOC \o "1-1" \h \z \t "Heading 2,2,Heading 3,3,Heading 4,3,Summary,1" </w:instrText>
          </w:r>
          <w:r w:rsidRPr="0064413A">
            <w:fldChar w:fldCharType="separate"/>
          </w:r>
          <w:hyperlink w:anchor="_Toc69480685" w:history="1">
            <w:r w:rsidR="00011585" w:rsidRPr="001D385F">
              <w:rPr>
                <w:rStyle w:val="Hyperlink"/>
              </w:rPr>
              <w:t>Executive Summary</w:t>
            </w:r>
            <w:r w:rsidR="00011585">
              <w:rPr>
                <w:webHidden/>
              </w:rPr>
              <w:tab/>
            </w:r>
            <w:r w:rsidR="00011585">
              <w:rPr>
                <w:webHidden/>
              </w:rPr>
              <w:fldChar w:fldCharType="begin"/>
            </w:r>
            <w:r w:rsidR="00011585">
              <w:rPr>
                <w:webHidden/>
              </w:rPr>
              <w:instrText xml:space="preserve"> PAGEREF _Toc69480685 \h </w:instrText>
            </w:r>
            <w:r w:rsidR="00011585">
              <w:rPr>
                <w:webHidden/>
              </w:rPr>
            </w:r>
            <w:r w:rsidR="00011585">
              <w:rPr>
                <w:webHidden/>
              </w:rPr>
              <w:fldChar w:fldCharType="separate"/>
            </w:r>
            <w:r w:rsidR="00011585">
              <w:rPr>
                <w:webHidden/>
              </w:rPr>
              <w:t>iv</w:t>
            </w:r>
            <w:r w:rsidR="00011585">
              <w:rPr>
                <w:webHidden/>
              </w:rPr>
              <w:fldChar w:fldCharType="end"/>
            </w:r>
          </w:hyperlink>
        </w:p>
        <w:p w14:paraId="7A9AED65" w14:textId="54456BE7" w:rsidR="00011585" w:rsidRDefault="00E344AA">
          <w:pPr>
            <w:pStyle w:val="TOC1"/>
            <w:rPr>
              <w:rFonts w:asciiTheme="minorHAnsi" w:hAnsiTheme="minorHAnsi" w:cstheme="minorBidi"/>
              <w:b w:val="0"/>
              <w:sz w:val="22"/>
              <w:szCs w:val="22"/>
              <w:lang w:val="en-AU" w:eastAsia="en-AU"/>
            </w:rPr>
          </w:pPr>
          <w:hyperlink w:anchor="_Toc69480686" w:history="1">
            <w:r w:rsidR="00011585" w:rsidRPr="001D385F">
              <w:rPr>
                <w:rStyle w:val="Hyperlink"/>
              </w:rPr>
              <w:t>1.</w:t>
            </w:r>
            <w:r w:rsidR="00011585">
              <w:rPr>
                <w:rFonts w:asciiTheme="minorHAnsi" w:hAnsiTheme="minorHAnsi" w:cstheme="minorBidi"/>
                <w:b w:val="0"/>
                <w:sz w:val="22"/>
                <w:szCs w:val="22"/>
                <w:lang w:val="en-AU" w:eastAsia="en-AU"/>
              </w:rPr>
              <w:tab/>
            </w:r>
            <w:r w:rsidR="00011585" w:rsidRPr="001D385F">
              <w:rPr>
                <w:rStyle w:val="Hyperlink"/>
              </w:rPr>
              <w:t>Introduction</w:t>
            </w:r>
            <w:r w:rsidR="00011585">
              <w:rPr>
                <w:webHidden/>
              </w:rPr>
              <w:tab/>
            </w:r>
            <w:r w:rsidR="00011585">
              <w:rPr>
                <w:webHidden/>
              </w:rPr>
              <w:fldChar w:fldCharType="begin"/>
            </w:r>
            <w:r w:rsidR="00011585">
              <w:rPr>
                <w:webHidden/>
              </w:rPr>
              <w:instrText xml:space="preserve"> PAGEREF _Toc69480686 \h </w:instrText>
            </w:r>
            <w:r w:rsidR="00011585">
              <w:rPr>
                <w:webHidden/>
              </w:rPr>
            </w:r>
            <w:r w:rsidR="00011585">
              <w:rPr>
                <w:webHidden/>
              </w:rPr>
              <w:fldChar w:fldCharType="separate"/>
            </w:r>
            <w:r w:rsidR="00011585">
              <w:rPr>
                <w:webHidden/>
              </w:rPr>
              <w:t>2</w:t>
            </w:r>
            <w:r w:rsidR="00011585">
              <w:rPr>
                <w:webHidden/>
              </w:rPr>
              <w:fldChar w:fldCharType="end"/>
            </w:r>
          </w:hyperlink>
        </w:p>
        <w:p w14:paraId="24922FFB" w14:textId="7FD7E44C" w:rsidR="00011585" w:rsidRDefault="00E344AA">
          <w:pPr>
            <w:pStyle w:val="TOC2"/>
            <w:rPr>
              <w:rFonts w:asciiTheme="minorHAnsi" w:hAnsiTheme="minorHAnsi" w:cstheme="minorBidi"/>
              <w:sz w:val="22"/>
              <w:szCs w:val="22"/>
              <w:lang w:val="en-AU" w:eastAsia="en-AU"/>
            </w:rPr>
          </w:pPr>
          <w:hyperlink w:anchor="_Toc69480687" w:history="1">
            <w:r w:rsidR="00011585" w:rsidRPr="001D385F">
              <w:rPr>
                <w:rStyle w:val="Hyperlink"/>
              </w:rPr>
              <w:t>1.1</w:t>
            </w:r>
            <w:r w:rsidR="00011585">
              <w:rPr>
                <w:rFonts w:asciiTheme="minorHAnsi" w:hAnsiTheme="minorHAnsi" w:cstheme="minorBidi"/>
                <w:sz w:val="22"/>
                <w:szCs w:val="22"/>
                <w:lang w:val="en-AU" w:eastAsia="en-AU"/>
              </w:rPr>
              <w:tab/>
            </w:r>
            <w:r w:rsidR="00011585" w:rsidRPr="001D385F">
              <w:rPr>
                <w:rStyle w:val="Hyperlink"/>
              </w:rPr>
              <w:t>Background</w:t>
            </w:r>
            <w:r w:rsidR="00011585">
              <w:rPr>
                <w:webHidden/>
              </w:rPr>
              <w:tab/>
            </w:r>
            <w:r w:rsidR="00011585">
              <w:rPr>
                <w:webHidden/>
              </w:rPr>
              <w:fldChar w:fldCharType="begin"/>
            </w:r>
            <w:r w:rsidR="00011585">
              <w:rPr>
                <w:webHidden/>
              </w:rPr>
              <w:instrText xml:space="preserve"> PAGEREF _Toc69480687 \h </w:instrText>
            </w:r>
            <w:r w:rsidR="00011585">
              <w:rPr>
                <w:webHidden/>
              </w:rPr>
            </w:r>
            <w:r w:rsidR="00011585">
              <w:rPr>
                <w:webHidden/>
              </w:rPr>
              <w:fldChar w:fldCharType="separate"/>
            </w:r>
            <w:r w:rsidR="00011585">
              <w:rPr>
                <w:webHidden/>
              </w:rPr>
              <w:t>2</w:t>
            </w:r>
            <w:r w:rsidR="00011585">
              <w:rPr>
                <w:webHidden/>
              </w:rPr>
              <w:fldChar w:fldCharType="end"/>
            </w:r>
          </w:hyperlink>
        </w:p>
        <w:p w14:paraId="1747866E" w14:textId="112F012B" w:rsidR="00011585" w:rsidRDefault="00E344AA">
          <w:pPr>
            <w:pStyle w:val="TOC2"/>
            <w:rPr>
              <w:rFonts w:asciiTheme="minorHAnsi" w:hAnsiTheme="minorHAnsi" w:cstheme="minorBidi"/>
              <w:sz w:val="22"/>
              <w:szCs w:val="22"/>
              <w:lang w:val="en-AU" w:eastAsia="en-AU"/>
            </w:rPr>
          </w:pPr>
          <w:hyperlink w:anchor="_Toc69480688" w:history="1">
            <w:r w:rsidR="00011585" w:rsidRPr="001D385F">
              <w:rPr>
                <w:rStyle w:val="Hyperlink"/>
              </w:rPr>
              <w:t>1.2</w:t>
            </w:r>
            <w:r w:rsidR="00011585">
              <w:rPr>
                <w:rFonts w:asciiTheme="minorHAnsi" w:hAnsiTheme="minorHAnsi" w:cstheme="minorBidi"/>
                <w:sz w:val="22"/>
                <w:szCs w:val="22"/>
                <w:lang w:val="en-AU" w:eastAsia="en-AU"/>
              </w:rPr>
              <w:tab/>
            </w:r>
            <w:r w:rsidR="00011585" w:rsidRPr="001D385F">
              <w:rPr>
                <w:rStyle w:val="Hyperlink"/>
              </w:rPr>
              <w:t>Objectives and approach</w:t>
            </w:r>
            <w:r w:rsidR="00011585">
              <w:rPr>
                <w:webHidden/>
              </w:rPr>
              <w:tab/>
            </w:r>
            <w:r w:rsidR="00011585">
              <w:rPr>
                <w:webHidden/>
              </w:rPr>
              <w:fldChar w:fldCharType="begin"/>
            </w:r>
            <w:r w:rsidR="00011585">
              <w:rPr>
                <w:webHidden/>
              </w:rPr>
              <w:instrText xml:space="preserve"> PAGEREF _Toc69480688 \h </w:instrText>
            </w:r>
            <w:r w:rsidR="00011585">
              <w:rPr>
                <w:webHidden/>
              </w:rPr>
            </w:r>
            <w:r w:rsidR="00011585">
              <w:rPr>
                <w:webHidden/>
              </w:rPr>
              <w:fldChar w:fldCharType="separate"/>
            </w:r>
            <w:r w:rsidR="00011585">
              <w:rPr>
                <w:webHidden/>
              </w:rPr>
              <w:t>3</w:t>
            </w:r>
            <w:r w:rsidR="00011585">
              <w:rPr>
                <w:webHidden/>
              </w:rPr>
              <w:fldChar w:fldCharType="end"/>
            </w:r>
          </w:hyperlink>
        </w:p>
        <w:p w14:paraId="2DFCE010" w14:textId="5EEFD22A" w:rsidR="00011585" w:rsidRDefault="00E344AA">
          <w:pPr>
            <w:pStyle w:val="TOC2"/>
            <w:rPr>
              <w:rFonts w:asciiTheme="minorHAnsi" w:hAnsiTheme="minorHAnsi" w:cstheme="minorBidi"/>
              <w:sz w:val="22"/>
              <w:szCs w:val="22"/>
              <w:lang w:val="en-AU" w:eastAsia="en-AU"/>
            </w:rPr>
          </w:pPr>
          <w:hyperlink w:anchor="_Toc69480689" w:history="1">
            <w:r w:rsidR="00011585" w:rsidRPr="001D385F">
              <w:rPr>
                <w:rStyle w:val="Hyperlink"/>
              </w:rPr>
              <w:t>1.3</w:t>
            </w:r>
            <w:r w:rsidR="00011585">
              <w:rPr>
                <w:rFonts w:asciiTheme="minorHAnsi" w:hAnsiTheme="minorHAnsi" w:cstheme="minorBidi"/>
                <w:sz w:val="22"/>
                <w:szCs w:val="22"/>
                <w:lang w:val="en-AU" w:eastAsia="en-AU"/>
              </w:rPr>
              <w:tab/>
            </w:r>
            <w:r w:rsidR="00011585" w:rsidRPr="001D385F">
              <w:rPr>
                <w:rStyle w:val="Hyperlink"/>
              </w:rPr>
              <w:t>Report Structure</w:t>
            </w:r>
            <w:r w:rsidR="00011585">
              <w:rPr>
                <w:webHidden/>
              </w:rPr>
              <w:tab/>
            </w:r>
            <w:r w:rsidR="00011585">
              <w:rPr>
                <w:webHidden/>
              </w:rPr>
              <w:fldChar w:fldCharType="begin"/>
            </w:r>
            <w:r w:rsidR="00011585">
              <w:rPr>
                <w:webHidden/>
              </w:rPr>
              <w:instrText xml:space="preserve"> PAGEREF _Toc69480689 \h </w:instrText>
            </w:r>
            <w:r w:rsidR="00011585">
              <w:rPr>
                <w:webHidden/>
              </w:rPr>
            </w:r>
            <w:r w:rsidR="00011585">
              <w:rPr>
                <w:webHidden/>
              </w:rPr>
              <w:fldChar w:fldCharType="separate"/>
            </w:r>
            <w:r w:rsidR="00011585">
              <w:rPr>
                <w:webHidden/>
              </w:rPr>
              <w:t>3</w:t>
            </w:r>
            <w:r w:rsidR="00011585">
              <w:rPr>
                <w:webHidden/>
              </w:rPr>
              <w:fldChar w:fldCharType="end"/>
            </w:r>
          </w:hyperlink>
        </w:p>
        <w:p w14:paraId="592C7ED5" w14:textId="02AAF0F4" w:rsidR="00011585" w:rsidRDefault="00E344AA">
          <w:pPr>
            <w:pStyle w:val="TOC1"/>
            <w:rPr>
              <w:rFonts w:asciiTheme="minorHAnsi" w:hAnsiTheme="minorHAnsi" w:cstheme="minorBidi"/>
              <w:b w:val="0"/>
              <w:sz w:val="22"/>
              <w:szCs w:val="22"/>
              <w:lang w:val="en-AU" w:eastAsia="en-AU"/>
            </w:rPr>
          </w:pPr>
          <w:hyperlink w:anchor="_Toc69480690" w:history="1">
            <w:r w:rsidR="00011585" w:rsidRPr="001D385F">
              <w:rPr>
                <w:rStyle w:val="Hyperlink"/>
              </w:rPr>
              <w:t>2.</w:t>
            </w:r>
            <w:r w:rsidR="00011585">
              <w:rPr>
                <w:rFonts w:asciiTheme="minorHAnsi" w:hAnsiTheme="minorHAnsi" w:cstheme="minorBidi"/>
                <w:b w:val="0"/>
                <w:sz w:val="22"/>
                <w:szCs w:val="22"/>
                <w:lang w:val="en-AU" w:eastAsia="en-AU"/>
              </w:rPr>
              <w:tab/>
            </w:r>
            <w:r w:rsidR="00011585" w:rsidRPr="001D385F">
              <w:rPr>
                <w:rStyle w:val="Hyperlink"/>
              </w:rPr>
              <w:t>Background and PSP details</w:t>
            </w:r>
            <w:r w:rsidR="00011585">
              <w:rPr>
                <w:webHidden/>
              </w:rPr>
              <w:tab/>
            </w:r>
            <w:r w:rsidR="00011585">
              <w:rPr>
                <w:webHidden/>
              </w:rPr>
              <w:fldChar w:fldCharType="begin"/>
            </w:r>
            <w:r w:rsidR="00011585">
              <w:rPr>
                <w:webHidden/>
              </w:rPr>
              <w:instrText xml:space="preserve"> PAGEREF _Toc69480690 \h </w:instrText>
            </w:r>
            <w:r w:rsidR="00011585">
              <w:rPr>
                <w:webHidden/>
              </w:rPr>
            </w:r>
            <w:r w:rsidR="00011585">
              <w:rPr>
                <w:webHidden/>
              </w:rPr>
              <w:fldChar w:fldCharType="separate"/>
            </w:r>
            <w:r w:rsidR="00011585">
              <w:rPr>
                <w:webHidden/>
              </w:rPr>
              <w:t>4</w:t>
            </w:r>
            <w:r w:rsidR="00011585">
              <w:rPr>
                <w:webHidden/>
              </w:rPr>
              <w:fldChar w:fldCharType="end"/>
            </w:r>
          </w:hyperlink>
        </w:p>
        <w:p w14:paraId="1B0A93FD" w14:textId="2925E885" w:rsidR="00011585" w:rsidRDefault="00E344AA">
          <w:pPr>
            <w:pStyle w:val="TOC2"/>
            <w:rPr>
              <w:rFonts w:asciiTheme="minorHAnsi" w:hAnsiTheme="minorHAnsi" w:cstheme="minorBidi"/>
              <w:sz w:val="22"/>
              <w:szCs w:val="22"/>
              <w:lang w:val="en-AU" w:eastAsia="en-AU"/>
            </w:rPr>
          </w:pPr>
          <w:hyperlink w:anchor="_Toc69480691" w:history="1">
            <w:r w:rsidR="00011585" w:rsidRPr="001D385F">
              <w:rPr>
                <w:rStyle w:val="Hyperlink"/>
              </w:rPr>
              <w:t>2.1</w:t>
            </w:r>
            <w:r w:rsidR="00011585">
              <w:rPr>
                <w:rFonts w:asciiTheme="minorHAnsi" w:hAnsiTheme="minorHAnsi" w:cstheme="minorBidi"/>
                <w:sz w:val="22"/>
                <w:szCs w:val="22"/>
                <w:lang w:val="en-AU" w:eastAsia="en-AU"/>
              </w:rPr>
              <w:tab/>
            </w:r>
            <w:r w:rsidR="00011585" w:rsidRPr="001D385F">
              <w:rPr>
                <w:rStyle w:val="Hyperlink"/>
              </w:rPr>
              <w:t>Minta Farm PSP</w:t>
            </w:r>
            <w:r w:rsidR="00011585">
              <w:rPr>
                <w:webHidden/>
              </w:rPr>
              <w:tab/>
            </w:r>
            <w:r w:rsidR="00011585">
              <w:rPr>
                <w:webHidden/>
              </w:rPr>
              <w:fldChar w:fldCharType="begin"/>
            </w:r>
            <w:r w:rsidR="00011585">
              <w:rPr>
                <w:webHidden/>
              </w:rPr>
              <w:instrText xml:space="preserve"> PAGEREF _Toc69480691 \h </w:instrText>
            </w:r>
            <w:r w:rsidR="00011585">
              <w:rPr>
                <w:webHidden/>
              </w:rPr>
            </w:r>
            <w:r w:rsidR="00011585">
              <w:rPr>
                <w:webHidden/>
              </w:rPr>
              <w:fldChar w:fldCharType="separate"/>
            </w:r>
            <w:r w:rsidR="00011585">
              <w:rPr>
                <w:webHidden/>
              </w:rPr>
              <w:t>5</w:t>
            </w:r>
            <w:r w:rsidR="00011585">
              <w:rPr>
                <w:webHidden/>
              </w:rPr>
              <w:fldChar w:fldCharType="end"/>
            </w:r>
          </w:hyperlink>
        </w:p>
        <w:p w14:paraId="7FDC05E2" w14:textId="4C11CBC8" w:rsidR="00011585" w:rsidRDefault="00E344AA">
          <w:pPr>
            <w:pStyle w:val="TOC2"/>
            <w:rPr>
              <w:rFonts w:asciiTheme="minorHAnsi" w:hAnsiTheme="minorHAnsi" w:cstheme="minorBidi"/>
              <w:sz w:val="22"/>
              <w:szCs w:val="22"/>
              <w:lang w:val="en-AU" w:eastAsia="en-AU"/>
            </w:rPr>
          </w:pPr>
          <w:hyperlink w:anchor="_Toc69480692" w:history="1">
            <w:r w:rsidR="00011585" w:rsidRPr="001D385F">
              <w:rPr>
                <w:rStyle w:val="Hyperlink"/>
              </w:rPr>
              <w:t>2.2</w:t>
            </w:r>
            <w:r w:rsidR="00011585">
              <w:rPr>
                <w:rFonts w:asciiTheme="minorHAnsi" w:hAnsiTheme="minorHAnsi" w:cstheme="minorBidi"/>
                <w:sz w:val="22"/>
                <w:szCs w:val="22"/>
                <w:lang w:val="en-AU" w:eastAsia="en-AU"/>
              </w:rPr>
              <w:tab/>
            </w:r>
            <w:r w:rsidR="00011585" w:rsidRPr="001D385F">
              <w:rPr>
                <w:rStyle w:val="Hyperlink"/>
              </w:rPr>
              <w:t>Officer South Employment PSP</w:t>
            </w:r>
            <w:r w:rsidR="00011585">
              <w:rPr>
                <w:webHidden/>
              </w:rPr>
              <w:tab/>
            </w:r>
            <w:r w:rsidR="00011585">
              <w:rPr>
                <w:webHidden/>
              </w:rPr>
              <w:fldChar w:fldCharType="begin"/>
            </w:r>
            <w:r w:rsidR="00011585">
              <w:rPr>
                <w:webHidden/>
              </w:rPr>
              <w:instrText xml:space="preserve"> PAGEREF _Toc69480692 \h </w:instrText>
            </w:r>
            <w:r w:rsidR="00011585">
              <w:rPr>
                <w:webHidden/>
              </w:rPr>
            </w:r>
            <w:r w:rsidR="00011585">
              <w:rPr>
                <w:webHidden/>
              </w:rPr>
              <w:fldChar w:fldCharType="separate"/>
            </w:r>
            <w:r w:rsidR="00011585">
              <w:rPr>
                <w:webHidden/>
              </w:rPr>
              <w:t>8</w:t>
            </w:r>
            <w:r w:rsidR="00011585">
              <w:rPr>
                <w:webHidden/>
              </w:rPr>
              <w:fldChar w:fldCharType="end"/>
            </w:r>
          </w:hyperlink>
        </w:p>
        <w:p w14:paraId="36DA990D" w14:textId="74F69596" w:rsidR="00011585" w:rsidRDefault="00E344AA">
          <w:pPr>
            <w:pStyle w:val="TOC2"/>
            <w:rPr>
              <w:rFonts w:asciiTheme="minorHAnsi" w:hAnsiTheme="minorHAnsi" w:cstheme="minorBidi"/>
              <w:sz w:val="22"/>
              <w:szCs w:val="22"/>
              <w:lang w:val="en-AU" w:eastAsia="en-AU"/>
            </w:rPr>
          </w:pPr>
          <w:hyperlink w:anchor="_Toc69480693" w:history="1">
            <w:r w:rsidR="00011585" w:rsidRPr="001D385F">
              <w:rPr>
                <w:rStyle w:val="Hyperlink"/>
              </w:rPr>
              <w:t>2.3</w:t>
            </w:r>
            <w:r w:rsidR="00011585">
              <w:rPr>
                <w:rFonts w:asciiTheme="minorHAnsi" w:hAnsiTheme="minorHAnsi" w:cstheme="minorBidi"/>
                <w:sz w:val="22"/>
                <w:szCs w:val="22"/>
                <w:lang w:val="en-AU" w:eastAsia="en-AU"/>
              </w:rPr>
              <w:tab/>
            </w:r>
            <w:r w:rsidR="00011585" w:rsidRPr="001D385F">
              <w:rPr>
                <w:rStyle w:val="Hyperlink"/>
              </w:rPr>
              <w:t>Cardinia South PSP</w:t>
            </w:r>
            <w:r w:rsidR="00011585">
              <w:rPr>
                <w:webHidden/>
              </w:rPr>
              <w:tab/>
            </w:r>
            <w:r w:rsidR="00011585">
              <w:rPr>
                <w:webHidden/>
              </w:rPr>
              <w:fldChar w:fldCharType="begin"/>
            </w:r>
            <w:r w:rsidR="00011585">
              <w:rPr>
                <w:webHidden/>
              </w:rPr>
              <w:instrText xml:space="preserve"> PAGEREF _Toc69480693 \h </w:instrText>
            </w:r>
            <w:r w:rsidR="00011585">
              <w:rPr>
                <w:webHidden/>
              </w:rPr>
            </w:r>
            <w:r w:rsidR="00011585">
              <w:rPr>
                <w:webHidden/>
              </w:rPr>
              <w:fldChar w:fldCharType="separate"/>
            </w:r>
            <w:r w:rsidR="00011585">
              <w:rPr>
                <w:webHidden/>
              </w:rPr>
              <w:t>8</w:t>
            </w:r>
            <w:r w:rsidR="00011585">
              <w:rPr>
                <w:webHidden/>
              </w:rPr>
              <w:fldChar w:fldCharType="end"/>
            </w:r>
          </w:hyperlink>
        </w:p>
        <w:p w14:paraId="7B2E5B90" w14:textId="1CB89DC7" w:rsidR="00011585" w:rsidRDefault="00E344AA">
          <w:pPr>
            <w:pStyle w:val="TOC1"/>
            <w:rPr>
              <w:rFonts w:asciiTheme="minorHAnsi" w:hAnsiTheme="minorHAnsi" w:cstheme="minorBidi"/>
              <w:b w:val="0"/>
              <w:sz w:val="22"/>
              <w:szCs w:val="22"/>
              <w:lang w:val="en-AU" w:eastAsia="en-AU"/>
            </w:rPr>
          </w:pPr>
          <w:hyperlink w:anchor="_Toc69480694" w:history="1">
            <w:r w:rsidR="00011585" w:rsidRPr="001D385F">
              <w:rPr>
                <w:rStyle w:val="Hyperlink"/>
              </w:rPr>
              <w:t>3.</w:t>
            </w:r>
            <w:r w:rsidR="00011585">
              <w:rPr>
                <w:rFonts w:asciiTheme="minorHAnsi" w:hAnsiTheme="minorHAnsi" w:cstheme="minorBidi"/>
                <w:b w:val="0"/>
                <w:sz w:val="22"/>
                <w:szCs w:val="22"/>
                <w:lang w:val="en-AU" w:eastAsia="en-AU"/>
              </w:rPr>
              <w:tab/>
            </w:r>
            <w:r w:rsidR="00011585" w:rsidRPr="001D385F">
              <w:rPr>
                <w:rStyle w:val="Hyperlink"/>
              </w:rPr>
              <w:t>Critical fish habitat and requirements</w:t>
            </w:r>
            <w:r w:rsidR="00011585">
              <w:rPr>
                <w:webHidden/>
              </w:rPr>
              <w:tab/>
            </w:r>
            <w:r w:rsidR="00011585">
              <w:rPr>
                <w:webHidden/>
              </w:rPr>
              <w:fldChar w:fldCharType="begin"/>
            </w:r>
            <w:r w:rsidR="00011585">
              <w:rPr>
                <w:webHidden/>
              </w:rPr>
              <w:instrText xml:space="preserve"> PAGEREF _Toc69480694 \h </w:instrText>
            </w:r>
            <w:r w:rsidR="00011585">
              <w:rPr>
                <w:webHidden/>
              </w:rPr>
            </w:r>
            <w:r w:rsidR="00011585">
              <w:rPr>
                <w:webHidden/>
              </w:rPr>
              <w:fldChar w:fldCharType="separate"/>
            </w:r>
            <w:r w:rsidR="00011585">
              <w:rPr>
                <w:webHidden/>
              </w:rPr>
              <w:t>10</w:t>
            </w:r>
            <w:r w:rsidR="00011585">
              <w:rPr>
                <w:webHidden/>
              </w:rPr>
              <w:fldChar w:fldCharType="end"/>
            </w:r>
          </w:hyperlink>
        </w:p>
        <w:p w14:paraId="3C7BAD55" w14:textId="4052E8D5" w:rsidR="00011585" w:rsidRDefault="00E344AA">
          <w:pPr>
            <w:pStyle w:val="TOC2"/>
            <w:rPr>
              <w:rFonts w:asciiTheme="minorHAnsi" w:hAnsiTheme="minorHAnsi" w:cstheme="minorBidi"/>
              <w:sz w:val="22"/>
              <w:szCs w:val="22"/>
              <w:lang w:val="en-AU" w:eastAsia="en-AU"/>
            </w:rPr>
          </w:pPr>
          <w:hyperlink w:anchor="_Toc69480695" w:history="1">
            <w:r w:rsidR="00011585" w:rsidRPr="001D385F">
              <w:rPr>
                <w:rStyle w:val="Hyperlink"/>
                <w:lang w:val="en-AU"/>
              </w:rPr>
              <w:t>3.1</w:t>
            </w:r>
            <w:r w:rsidR="00011585">
              <w:rPr>
                <w:rFonts w:asciiTheme="minorHAnsi" w:hAnsiTheme="minorHAnsi" w:cstheme="minorBidi"/>
                <w:sz w:val="22"/>
                <w:szCs w:val="22"/>
                <w:lang w:val="en-AU" w:eastAsia="en-AU"/>
              </w:rPr>
              <w:tab/>
            </w:r>
            <w:r w:rsidR="00011585" w:rsidRPr="001D385F">
              <w:rPr>
                <w:rStyle w:val="Hyperlink"/>
                <w:lang w:val="en-AU"/>
              </w:rPr>
              <w:t>Dwarf Galaxias</w:t>
            </w:r>
            <w:r w:rsidR="00011585">
              <w:rPr>
                <w:webHidden/>
              </w:rPr>
              <w:tab/>
            </w:r>
            <w:r w:rsidR="00011585">
              <w:rPr>
                <w:webHidden/>
              </w:rPr>
              <w:fldChar w:fldCharType="begin"/>
            </w:r>
            <w:r w:rsidR="00011585">
              <w:rPr>
                <w:webHidden/>
              </w:rPr>
              <w:instrText xml:space="preserve"> PAGEREF _Toc69480695 \h </w:instrText>
            </w:r>
            <w:r w:rsidR="00011585">
              <w:rPr>
                <w:webHidden/>
              </w:rPr>
            </w:r>
            <w:r w:rsidR="00011585">
              <w:rPr>
                <w:webHidden/>
              </w:rPr>
              <w:fldChar w:fldCharType="separate"/>
            </w:r>
            <w:r w:rsidR="00011585">
              <w:rPr>
                <w:webHidden/>
              </w:rPr>
              <w:t>10</w:t>
            </w:r>
            <w:r w:rsidR="00011585">
              <w:rPr>
                <w:webHidden/>
              </w:rPr>
              <w:fldChar w:fldCharType="end"/>
            </w:r>
          </w:hyperlink>
        </w:p>
        <w:p w14:paraId="6FB55FD5" w14:textId="3173FF24" w:rsidR="00011585" w:rsidRDefault="00E344AA">
          <w:pPr>
            <w:pStyle w:val="TOC3"/>
            <w:rPr>
              <w:rFonts w:asciiTheme="minorHAnsi" w:hAnsiTheme="minorHAnsi" w:cstheme="minorBidi"/>
              <w:sz w:val="22"/>
              <w:szCs w:val="22"/>
              <w:lang w:val="en-AU" w:eastAsia="en-AU"/>
            </w:rPr>
          </w:pPr>
          <w:hyperlink w:anchor="_Toc69480696" w:history="1">
            <w:r w:rsidR="00011585" w:rsidRPr="001D385F">
              <w:rPr>
                <w:rStyle w:val="Hyperlink"/>
                <w14:scene3d>
                  <w14:camera w14:prst="orthographicFront"/>
                  <w14:lightRig w14:rig="threePt" w14:dir="t">
                    <w14:rot w14:lat="0" w14:lon="0" w14:rev="0"/>
                  </w14:lightRig>
                </w14:scene3d>
              </w:rPr>
              <w:t>3.1.1</w:t>
            </w:r>
            <w:r w:rsidR="00011585">
              <w:rPr>
                <w:rFonts w:asciiTheme="minorHAnsi" w:hAnsiTheme="minorHAnsi" w:cstheme="minorBidi"/>
                <w:sz w:val="22"/>
                <w:szCs w:val="22"/>
                <w:lang w:val="en-AU" w:eastAsia="en-AU"/>
              </w:rPr>
              <w:tab/>
            </w:r>
            <w:r w:rsidR="00011585" w:rsidRPr="001D385F">
              <w:rPr>
                <w:rStyle w:val="Hyperlink"/>
              </w:rPr>
              <w:t>Presence in Cardinia Creek</w:t>
            </w:r>
            <w:r w:rsidR="00011585">
              <w:rPr>
                <w:webHidden/>
              </w:rPr>
              <w:tab/>
            </w:r>
            <w:r w:rsidR="00011585">
              <w:rPr>
                <w:webHidden/>
              </w:rPr>
              <w:fldChar w:fldCharType="begin"/>
            </w:r>
            <w:r w:rsidR="00011585">
              <w:rPr>
                <w:webHidden/>
              </w:rPr>
              <w:instrText xml:space="preserve"> PAGEREF _Toc69480696 \h </w:instrText>
            </w:r>
            <w:r w:rsidR="00011585">
              <w:rPr>
                <w:webHidden/>
              </w:rPr>
            </w:r>
            <w:r w:rsidR="00011585">
              <w:rPr>
                <w:webHidden/>
              </w:rPr>
              <w:fldChar w:fldCharType="separate"/>
            </w:r>
            <w:r w:rsidR="00011585">
              <w:rPr>
                <w:webHidden/>
              </w:rPr>
              <w:t>11</w:t>
            </w:r>
            <w:r w:rsidR="00011585">
              <w:rPr>
                <w:webHidden/>
              </w:rPr>
              <w:fldChar w:fldCharType="end"/>
            </w:r>
          </w:hyperlink>
        </w:p>
        <w:p w14:paraId="1C2A52EF" w14:textId="1A3B8CE0" w:rsidR="00011585" w:rsidRDefault="00E344AA">
          <w:pPr>
            <w:pStyle w:val="TOC3"/>
            <w:rPr>
              <w:rFonts w:asciiTheme="minorHAnsi" w:hAnsiTheme="minorHAnsi" w:cstheme="minorBidi"/>
              <w:sz w:val="22"/>
              <w:szCs w:val="22"/>
              <w:lang w:val="en-AU" w:eastAsia="en-AU"/>
            </w:rPr>
          </w:pPr>
          <w:hyperlink w:anchor="_Toc69480697" w:history="1">
            <w:r w:rsidR="00011585" w:rsidRPr="001D385F">
              <w:rPr>
                <w:rStyle w:val="Hyperlink"/>
                <w14:scene3d>
                  <w14:camera w14:prst="orthographicFront"/>
                  <w14:lightRig w14:rig="threePt" w14:dir="t">
                    <w14:rot w14:lat="0" w14:lon="0" w14:rev="0"/>
                  </w14:lightRig>
                </w14:scene3d>
              </w:rPr>
              <w:t>3.1.2</w:t>
            </w:r>
            <w:r w:rsidR="00011585">
              <w:rPr>
                <w:rFonts w:asciiTheme="minorHAnsi" w:hAnsiTheme="minorHAnsi" w:cstheme="minorBidi"/>
                <w:sz w:val="22"/>
                <w:szCs w:val="22"/>
                <w:lang w:val="en-AU" w:eastAsia="en-AU"/>
              </w:rPr>
              <w:tab/>
            </w:r>
            <w:r w:rsidR="00011585" w:rsidRPr="001D385F">
              <w:rPr>
                <w:rStyle w:val="Hyperlink"/>
              </w:rPr>
              <w:t>Critical flow components</w:t>
            </w:r>
            <w:r w:rsidR="00011585">
              <w:rPr>
                <w:webHidden/>
              </w:rPr>
              <w:tab/>
            </w:r>
            <w:r w:rsidR="00011585">
              <w:rPr>
                <w:webHidden/>
              </w:rPr>
              <w:fldChar w:fldCharType="begin"/>
            </w:r>
            <w:r w:rsidR="00011585">
              <w:rPr>
                <w:webHidden/>
              </w:rPr>
              <w:instrText xml:space="preserve"> PAGEREF _Toc69480697 \h </w:instrText>
            </w:r>
            <w:r w:rsidR="00011585">
              <w:rPr>
                <w:webHidden/>
              </w:rPr>
            </w:r>
            <w:r w:rsidR="00011585">
              <w:rPr>
                <w:webHidden/>
              </w:rPr>
              <w:fldChar w:fldCharType="separate"/>
            </w:r>
            <w:r w:rsidR="00011585">
              <w:rPr>
                <w:webHidden/>
              </w:rPr>
              <w:t>14</w:t>
            </w:r>
            <w:r w:rsidR="00011585">
              <w:rPr>
                <w:webHidden/>
              </w:rPr>
              <w:fldChar w:fldCharType="end"/>
            </w:r>
          </w:hyperlink>
        </w:p>
        <w:p w14:paraId="1EBC6BAD" w14:textId="3DCE69B1" w:rsidR="00011585" w:rsidRDefault="00E344AA">
          <w:pPr>
            <w:pStyle w:val="TOC2"/>
            <w:rPr>
              <w:rFonts w:asciiTheme="minorHAnsi" w:hAnsiTheme="minorHAnsi" w:cstheme="minorBidi"/>
              <w:sz w:val="22"/>
              <w:szCs w:val="22"/>
              <w:lang w:val="en-AU" w:eastAsia="en-AU"/>
            </w:rPr>
          </w:pPr>
          <w:hyperlink w:anchor="_Toc69480698" w:history="1">
            <w:r w:rsidR="00011585" w:rsidRPr="001D385F">
              <w:rPr>
                <w:rStyle w:val="Hyperlink"/>
                <w:lang w:val="en-AU"/>
              </w:rPr>
              <w:t>3.2</w:t>
            </w:r>
            <w:r w:rsidR="00011585">
              <w:rPr>
                <w:rFonts w:asciiTheme="minorHAnsi" w:hAnsiTheme="minorHAnsi" w:cstheme="minorBidi"/>
                <w:sz w:val="22"/>
                <w:szCs w:val="22"/>
                <w:lang w:val="en-AU" w:eastAsia="en-AU"/>
              </w:rPr>
              <w:tab/>
            </w:r>
            <w:r w:rsidR="00011585" w:rsidRPr="001D385F">
              <w:rPr>
                <w:rStyle w:val="Hyperlink"/>
                <w:lang w:val="en-AU"/>
              </w:rPr>
              <w:t>Australian grayling</w:t>
            </w:r>
            <w:r w:rsidR="00011585">
              <w:rPr>
                <w:webHidden/>
              </w:rPr>
              <w:tab/>
            </w:r>
            <w:r w:rsidR="00011585">
              <w:rPr>
                <w:webHidden/>
              </w:rPr>
              <w:fldChar w:fldCharType="begin"/>
            </w:r>
            <w:r w:rsidR="00011585">
              <w:rPr>
                <w:webHidden/>
              </w:rPr>
              <w:instrText xml:space="preserve"> PAGEREF _Toc69480698 \h </w:instrText>
            </w:r>
            <w:r w:rsidR="00011585">
              <w:rPr>
                <w:webHidden/>
              </w:rPr>
            </w:r>
            <w:r w:rsidR="00011585">
              <w:rPr>
                <w:webHidden/>
              </w:rPr>
              <w:fldChar w:fldCharType="separate"/>
            </w:r>
            <w:r w:rsidR="00011585">
              <w:rPr>
                <w:webHidden/>
              </w:rPr>
              <w:t>14</w:t>
            </w:r>
            <w:r w:rsidR="00011585">
              <w:rPr>
                <w:webHidden/>
              </w:rPr>
              <w:fldChar w:fldCharType="end"/>
            </w:r>
          </w:hyperlink>
        </w:p>
        <w:p w14:paraId="3D7B7EF3" w14:textId="4BC92AFD" w:rsidR="00011585" w:rsidRDefault="00E344AA">
          <w:pPr>
            <w:pStyle w:val="TOC3"/>
            <w:rPr>
              <w:rFonts w:asciiTheme="minorHAnsi" w:hAnsiTheme="minorHAnsi" w:cstheme="minorBidi"/>
              <w:sz w:val="22"/>
              <w:szCs w:val="22"/>
              <w:lang w:val="en-AU" w:eastAsia="en-AU"/>
            </w:rPr>
          </w:pPr>
          <w:hyperlink w:anchor="_Toc69480699" w:history="1">
            <w:r w:rsidR="00011585" w:rsidRPr="001D385F">
              <w:rPr>
                <w:rStyle w:val="Hyperlink"/>
                <w:lang w:val="en-AU"/>
                <w14:scene3d>
                  <w14:camera w14:prst="orthographicFront"/>
                  <w14:lightRig w14:rig="threePt" w14:dir="t">
                    <w14:rot w14:lat="0" w14:lon="0" w14:rev="0"/>
                  </w14:lightRig>
                </w14:scene3d>
              </w:rPr>
              <w:t>3.2.1</w:t>
            </w:r>
            <w:r w:rsidR="00011585">
              <w:rPr>
                <w:rFonts w:asciiTheme="minorHAnsi" w:hAnsiTheme="minorHAnsi" w:cstheme="minorBidi"/>
                <w:sz w:val="22"/>
                <w:szCs w:val="22"/>
                <w:lang w:val="en-AU" w:eastAsia="en-AU"/>
              </w:rPr>
              <w:tab/>
            </w:r>
            <w:r w:rsidR="00011585" w:rsidRPr="001D385F">
              <w:rPr>
                <w:rStyle w:val="Hyperlink"/>
                <w:lang w:val="en-AU"/>
              </w:rPr>
              <w:t>Habitat and flow requirements</w:t>
            </w:r>
            <w:r w:rsidR="00011585">
              <w:rPr>
                <w:webHidden/>
              </w:rPr>
              <w:tab/>
            </w:r>
            <w:r w:rsidR="00011585">
              <w:rPr>
                <w:webHidden/>
              </w:rPr>
              <w:fldChar w:fldCharType="begin"/>
            </w:r>
            <w:r w:rsidR="00011585">
              <w:rPr>
                <w:webHidden/>
              </w:rPr>
              <w:instrText xml:space="preserve"> PAGEREF _Toc69480699 \h </w:instrText>
            </w:r>
            <w:r w:rsidR="00011585">
              <w:rPr>
                <w:webHidden/>
              </w:rPr>
            </w:r>
            <w:r w:rsidR="00011585">
              <w:rPr>
                <w:webHidden/>
              </w:rPr>
              <w:fldChar w:fldCharType="separate"/>
            </w:r>
            <w:r w:rsidR="00011585">
              <w:rPr>
                <w:webHidden/>
              </w:rPr>
              <w:t>14</w:t>
            </w:r>
            <w:r w:rsidR="00011585">
              <w:rPr>
                <w:webHidden/>
              </w:rPr>
              <w:fldChar w:fldCharType="end"/>
            </w:r>
          </w:hyperlink>
        </w:p>
        <w:p w14:paraId="45C20579" w14:textId="20A2395E" w:rsidR="00011585" w:rsidRDefault="00E344AA">
          <w:pPr>
            <w:pStyle w:val="TOC3"/>
            <w:rPr>
              <w:rFonts w:asciiTheme="minorHAnsi" w:hAnsiTheme="minorHAnsi" w:cstheme="minorBidi"/>
              <w:sz w:val="22"/>
              <w:szCs w:val="22"/>
              <w:lang w:val="en-AU" w:eastAsia="en-AU"/>
            </w:rPr>
          </w:pPr>
          <w:hyperlink w:anchor="_Toc69480700" w:history="1">
            <w:r w:rsidR="00011585" w:rsidRPr="001D385F">
              <w:rPr>
                <w:rStyle w:val="Hyperlink"/>
                <w:lang w:val="en-AU"/>
                <w14:scene3d>
                  <w14:camera w14:prst="orthographicFront"/>
                  <w14:lightRig w14:rig="threePt" w14:dir="t">
                    <w14:rot w14:lat="0" w14:lon="0" w14:rev="0"/>
                  </w14:lightRig>
                </w14:scene3d>
              </w:rPr>
              <w:t>3.2.2</w:t>
            </w:r>
            <w:r w:rsidR="00011585">
              <w:rPr>
                <w:rFonts w:asciiTheme="minorHAnsi" w:hAnsiTheme="minorHAnsi" w:cstheme="minorBidi"/>
                <w:sz w:val="22"/>
                <w:szCs w:val="22"/>
                <w:lang w:val="en-AU" w:eastAsia="en-AU"/>
              </w:rPr>
              <w:tab/>
            </w:r>
            <w:r w:rsidR="00011585" w:rsidRPr="001D385F">
              <w:rPr>
                <w:rStyle w:val="Hyperlink"/>
                <w:lang w:val="en-AU"/>
              </w:rPr>
              <w:t>Presence in Cardinia Creek</w:t>
            </w:r>
            <w:r w:rsidR="00011585">
              <w:rPr>
                <w:webHidden/>
              </w:rPr>
              <w:tab/>
            </w:r>
            <w:r w:rsidR="00011585">
              <w:rPr>
                <w:webHidden/>
              </w:rPr>
              <w:fldChar w:fldCharType="begin"/>
            </w:r>
            <w:r w:rsidR="00011585">
              <w:rPr>
                <w:webHidden/>
              </w:rPr>
              <w:instrText xml:space="preserve"> PAGEREF _Toc69480700 \h </w:instrText>
            </w:r>
            <w:r w:rsidR="00011585">
              <w:rPr>
                <w:webHidden/>
              </w:rPr>
            </w:r>
            <w:r w:rsidR="00011585">
              <w:rPr>
                <w:webHidden/>
              </w:rPr>
              <w:fldChar w:fldCharType="separate"/>
            </w:r>
            <w:r w:rsidR="00011585">
              <w:rPr>
                <w:webHidden/>
              </w:rPr>
              <w:t>16</w:t>
            </w:r>
            <w:r w:rsidR="00011585">
              <w:rPr>
                <w:webHidden/>
              </w:rPr>
              <w:fldChar w:fldCharType="end"/>
            </w:r>
          </w:hyperlink>
        </w:p>
        <w:p w14:paraId="3F58BA97" w14:textId="4D8481BB" w:rsidR="00011585" w:rsidRDefault="00E344AA">
          <w:pPr>
            <w:pStyle w:val="TOC3"/>
            <w:rPr>
              <w:rFonts w:asciiTheme="minorHAnsi" w:hAnsiTheme="minorHAnsi" w:cstheme="minorBidi"/>
              <w:sz w:val="22"/>
              <w:szCs w:val="22"/>
              <w:lang w:val="en-AU" w:eastAsia="en-AU"/>
            </w:rPr>
          </w:pPr>
          <w:hyperlink w:anchor="_Toc69480701" w:history="1">
            <w:r w:rsidR="00011585" w:rsidRPr="001D385F">
              <w:rPr>
                <w:rStyle w:val="Hyperlink"/>
                <w14:scene3d>
                  <w14:camera w14:prst="orthographicFront"/>
                  <w14:lightRig w14:rig="threePt" w14:dir="t">
                    <w14:rot w14:lat="0" w14:lon="0" w14:rev="0"/>
                  </w14:lightRig>
                </w14:scene3d>
              </w:rPr>
              <w:t>3.2.3</w:t>
            </w:r>
            <w:r w:rsidR="00011585">
              <w:rPr>
                <w:rFonts w:asciiTheme="minorHAnsi" w:hAnsiTheme="minorHAnsi" w:cstheme="minorBidi"/>
                <w:sz w:val="22"/>
                <w:szCs w:val="22"/>
                <w:lang w:val="en-AU" w:eastAsia="en-AU"/>
              </w:rPr>
              <w:tab/>
            </w:r>
            <w:r w:rsidR="00011585" w:rsidRPr="001D385F">
              <w:rPr>
                <w:rStyle w:val="Hyperlink"/>
              </w:rPr>
              <w:t>Critical flow components</w:t>
            </w:r>
            <w:r w:rsidR="00011585">
              <w:rPr>
                <w:webHidden/>
              </w:rPr>
              <w:tab/>
            </w:r>
            <w:r w:rsidR="00011585">
              <w:rPr>
                <w:webHidden/>
              </w:rPr>
              <w:fldChar w:fldCharType="begin"/>
            </w:r>
            <w:r w:rsidR="00011585">
              <w:rPr>
                <w:webHidden/>
              </w:rPr>
              <w:instrText xml:space="preserve"> PAGEREF _Toc69480701 \h </w:instrText>
            </w:r>
            <w:r w:rsidR="00011585">
              <w:rPr>
                <w:webHidden/>
              </w:rPr>
            </w:r>
            <w:r w:rsidR="00011585">
              <w:rPr>
                <w:webHidden/>
              </w:rPr>
              <w:fldChar w:fldCharType="separate"/>
            </w:r>
            <w:r w:rsidR="00011585">
              <w:rPr>
                <w:webHidden/>
              </w:rPr>
              <w:t>18</w:t>
            </w:r>
            <w:r w:rsidR="00011585">
              <w:rPr>
                <w:webHidden/>
              </w:rPr>
              <w:fldChar w:fldCharType="end"/>
            </w:r>
          </w:hyperlink>
        </w:p>
        <w:p w14:paraId="49FAFF35" w14:textId="743974FE" w:rsidR="00011585" w:rsidRDefault="00E344AA">
          <w:pPr>
            <w:pStyle w:val="TOC1"/>
            <w:rPr>
              <w:rFonts w:asciiTheme="minorHAnsi" w:hAnsiTheme="minorHAnsi" w:cstheme="minorBidi"/>
              <w:b w:val="0"/>
              <w:sz w:val="22"/>
              <w:szCs w:val="22"/>
              <w:lang w:val="en-AU" w:eastAsia="en-AU"/>
            </w:rPr>
          </w:pPr>
          <w:hyperlink w:anchor="_Toc69480702" w:history="1">
            <w:r w:rsidR="00011585" w:rsidRPr="001D385F">
              <w:rPr>
                <w:rStyle w:val="Hyperlink"/>
                <w:lang w:val="en-AU"/>
              </w:rPr>
              <w:t>4.</w:t>
            </w:r>
            <w:r w:rsidR="00011585">
              <w:rPr>
                <w:rFonts w:asciiTheme="minorHAnsi" w:hAnsiTheme="minorHAnsi" w:cstheme="minorBidi"/>
                <w:b w:val="0"/>
                <w:sz w:val="22"/>
                <w:szCs w:val="22"/>
                <w:lang w:val="en-AU" w:eastAsia="en-AU"/>
              </w:rPr>
              <w:tab/>
            </w:r>
            <w:r w:rsidR="00011585" w:rsidRPr="001D385F">
              <w:rPr>
                <w:rStyle w:val="Hyperlink"/>
                <w:lang w:val="en-AU"/>
              </w:rPr>
              <w:t>Fish risk assessment approach</w:t>
            </w:r>
            <w:r w:rsidR="00011585">
              <w:rPr>
                <w:webHidden/>
              </w:rPr>
              <w:tab/>
            </w:r>
            <w:r w:rsidR="00011585">
              <w:rPr>
                <w:webHidden/>
              </w:rPr>
              <w:fldChar w:fldCharType="begin"/>
            </w:r>
            <w:r w:rsidR="00011585">
              <w:rPr>
                <w:webHidden/>
              </w:rPr>
              <w:instrText xml:space="preserve"> PAGEREF _Toc69480702 \h </w:instrText>
            </w:r>
            <w:r w:rsidR="00011585">
              <w:rPr>
                <w:webHidden/>
              </w:rPr>
            </w:r>
            <w:r w:rsidR="00011585">
              <w:rPr>
                <w:webHidden/>
              </w:rPr>
              <w:fldChar w:fldCharType="separate"/>
            </w:r>
            <w:r w:rsidR="00011585">
              <w:rPr>
                <w:webHidden/>
              </w:rPr>
              <w:t>19</w:t>
            </w:r>
            <w:r w:rsidR="00011585">
              <w:rPr>
                <w:webHidden/>
              </w:rPr>
              <w:fldChar w:fldCharType="end"/>
            </w:r>
          </w:hyperlink>
        </w:p>
        <w:p w14:paraId="3D1D719D" w14:textId="405E937E" w:rsidR="00011585" w:rsidRDefault="00E344AA">
          <w:pPr>
            <w:pStyle w:val="TOC2"/>
            <w:rPr>
              <w:rFonts w:asciiTheme="minorHAnsi" w:hAnsiTheme="minorHAnsi" w:cstheme="minorBidi"/>
              <w:sz w:val="22"/>
              <w:szCs w:val="22"/>
              <w:lang w:val="en-AU" w:eastAsia="en-AU"/>
            </w:rPr>
          </w:pPr>
          <w:hyperlink w:anchor="_Toc69480703" w:history="1">
            <w:r w:rsidR="00011585" w:rsidRPr="001D385F">
              <w:rPr>
                <w:rStyle w:val="Hyperlink"/>
              </w:rPr>
              <w:t>4.1</w:t>
            </w:r>
            <w:r w:rsidR="00011585">
              <w:rPr>
                <w:rFonts w:asciiTheme="minorHAnsi" w:hAnsiTheme="minorHAnsi" w:cstheme="minorBidi"/>
                <w:sz w:val="22"/>
                <w:szCs w:val="22"/>
                <w:lang w:val="en-AU" w:eastAsia="en-AU"/>
              </w:rPr>
              <w:tab/>
            </w:r>
            <w:r w:rsidR="00011585" w:rsidRPr="001D385F">
              <w:rPr>
                <w:rStyle w:val="Hyperlink"/>
              </w:rPr>
              <w:t>Broad approach</w:t>
            </w:r>
            <w:r w:rsidR="00011585">
              <w:rPr>
                <w:webHidden/>
              </w:rPr>
              <w:tab/>
            </w:r>
            <w:r w:rsidR="00011585">
              <w:rPr>
                <w:webHidden/>
              </w:rPr>
              <w:fldChar w:fldCharType="begin"/>
            </w:r>
            <w:r w:rsidR="00011585">
              <w:rPr>
                <w:webHidden/>
              </w:rPr>
              <w:instrText xml:space="preserve"> PAGEREF _Toc69480703 \h </w:instrText>
            </w:r>
            <w:r w:rsidR="00011585">
              <w:rPr>
                <w:webHidden/>
              </w:rPr>
            </w:r>
            <w:r w:rsidR="00011585">
              <w:rPr>
                <w:webHidden/>
              </w:rPr>
              <w:fldChar w:fldCharType="separate"/>
            </w:r>
            <w:r w:rsidR="00011585">
              <w:rPr>
                <w:webHidden/>
              </w:rPr>
              <w:t>19</w:t>
            </w:r>
            <w:r w:rsidR="00011585">
              <w:rPr>
                <w:webHidden/>
              </w:rPr>
              <w:fldChar w:fldCharType="end"/>
            </w:r>
          </w:hyperlink>
        </w:p>
        <w:p w14:paraId="2D9C7A50" w14:textId="109FA854" w:rsidR="00011585" w:rsidRDefault="00E344AA">
          <w:pPr>
            <w:pStyle w:val="TOC2"/>
            <w:rPr>
              <w:rFonts w:asciiTheme="minorHAnsi" w:hAnsiTheme="minorHAnsi" w:cstheme="minorBidi"/>
              <w:sz w:val="22"/>
              <w:szCs w:val="22"/>
              <w:lang w:val="en-AU" w:eastAsia="en-AU"/>
            </w:rPr>
          </w:pPr>
          <w:hyperlink w:anchor="_Toc69480704" w:history="1">
            <w:r w:rsidR="00011585" w:rsidRPr="001D385F">
              <w:rPr>
                <w:rStyle w:val="Hyperlink"/>
              </w:rPr>
              <w:t>4.2</w:t>
            </w:r>
            <w:r w:rsidR="00011585">
              <w:rPr>
                <w:rFonts w:asciiTheme="minorHAnsi" w:hAnsiTheme="minorHAnsi" w:cstheme="minorBidi"/>
                <w:sz w:val="22"/>
                <w:szCs w:val="22"/>
                <w:lang w:val="en-AU" w:eastAsia="en-AU"/>
              </w:rPr>
              <w:tab/>
            </w:r>
            <w:r w:rsidR="00011585" w:rsidRPr="001D385F">
              <w:rPr>
                <w:rStyle w:val="Hyperlink"/>
              </w:rPr>
              <w:t>Hydrological and hydraulic modelling</w:t>
            </w:r>
            <w:r w:rsidR="00011585">
              <w:rPr>
                <w:webHidden/>
              </w:rPr>
              <w:tab/>
            </w:r>
            <w:r w:rsidR="00011585">
              <w:rPr>
                <w:webHidden/>
              </w:rPr>
              <w:fldChar w:fldCharType="begin"/>
            </w:r>
            <w:r w:rsidR="00011585">
              <w:rPr>
                <w:webHidden/>
              </w:rPr>
              <w:instrText xml:space="preserve"> PAGEREF _Toc69480704 \h </w:instrText>
            </w:r>
            <w:r w:rsidR="00011585">
              <w:rPr>
                <w:webHidden/>
              </w:rPr>
            </w:r>
            <w:r w:rsidR="00011585">
              <w:rPr>
                <w:webHidden/>
              </w:rPr>
              <w:fldChar w:fldCharType="separate"/>
            </w:r>
            <w:r w:rsidR="00011585">
              <w:rPr>
                <w:webHidden/>
              </w:rPr>
              <w:t>19</w:t>
            </w:r>
            <w:r w:rsidR="00011585">
              <w:rPr>
                <w:webHidden/>
              </w:rPr>
              <w:fldChar w:fldCharType="end"/>
            </w:r>
          </w:hyperlink>
        </w:p>
        <w:p w14:paraId="670D2694" w14:textId="25492C44" w:rsidR="00011585" w:rsidRDefault="00E344AA">
          <w:pPr>
            <w:pStyle w:val="TOC3"/>
            <w:rPr>
              <w:rFonts w:asciiTheme="minorHAnsi" w:hAnsiTheme="minorHAnsi" w:cstheme="minorBidi"/>
              <w:sz w:val="22"/>
              <w:szCs w:val="22"/>
              <w:lang w:val="en-AU" w:eastAsia="en-AU"/>
            </w:rPr>
          </w:pPr>
          <w:hyperlink w:anchor="_Toc69480705" w:history="1">
            <w:r w:rsidR="00011585" w:rsidRPr="001D385F">
              <w:rPr>
                <w:rStyle w:val="Hyperlink"/>
                <w:lang w:val="en-AU"/>
                <w14:scene3d>
                  <w14:camera w14:prst="orthographicFront"/>
                  <w14:lightRig w14:rig="threePt" w14:dir="t">
                    <w14:rot w14:lat="0" w14:lon="0" w14:rev="0"/>
                  </w14:lightRig>
                </w14:scene3d>
              </w:rPr>
              <w:t>4.2.1</w:t>
            </w:r>
            <w:r w:rsidR="00011585">
              <w:rPr>
                <w:rFonts w:asciiTheme="minorHAnsi" w:hAnsiTheme="minorHAnsi" w:cstheme="minorBidi"/>
                <w:sz w:val="22"/>
                <w:szCs w:val="22"/>
                <w:lang w:val="en-AU" w:eastAsia="en-AU"/>
              </w:rPr>
              <w:tab/>
            </w:r>
            <w:r w:rsidR="00011585" w:rsidRPr="001D385F">
              <w:rPr>
                <w:rStyle w:val="Hyperlink"/>
                <w:lang w:val="en-AU"/>
              </w:rPr>
              <w:t>Hydrological modelling</w:t>
            </w:r>
            <w:r w:rsidR="00011585">
              <w:rPr>
                <w:webHidden/>
              </w:rPr>
              <w:tab/>
            </w:r>
            <w:r w:rsidR="00011585">
              <w:rPr>
                <w:webHidden/>
              </w:rPr>
              <w:fldChar w:fldCharType="begin"/>
            </w:r>
            <w:r w:rsidR="00011585">
              <w:rPr>
                <w:webHidden/>
              </w:rPr>
              <w:instrText xml:space="preserve"> PAGEREF _Toc69480705 \h </w:instrText>
            </w:r>
            <w:r w:rsidR="00011585">
              <w:rPr>
                <w:webHidden/>
              </w:rPr>
            </w:r>
            <w:r w:rsidR="00011585">
              <w:rPr>
                <w:webHidden/>
              </w:rPr>
              <w:fldChar w:fldCharType="separate"/>
            </w:r>
            <w:r w:rsidR="00011585">
              <w:rPr>
                <w:webHidden/>
              </w:rPr>
              <w:t>19</w:t>
            </w:r>
            <w:r w:rsidR="00011585">
              <w:rPr>
                <w:webHidden/>
              </w:rPr>
              <w:fldChar w:fldCharType="end"/>
            </w:r>
          </w:hyperlink>
        </w:p>
        <w:p w14:paraId="7E8DDB98" w14:textId="3B2C5BD3" w:rsidR="00011585" w:rsidRDefault="00E344AA">
          <w:pPr>
            <w:pStyle w:val="TOC3"/>
            <w:rPr>
              <w:rFonts w:asciiTheme="minorHAnsi" w:hAnsiTheme="minorHAnsi" w:cstheme="minorBidi"/>
              <w:sz w:val="22"/>
              <w:szCs w:val="22"/>
              <w:lang w:val="en-AU" w:eastAsia="en-AU"/>
            </w:rPr>
          </w:pPr>
          <w:hyperlink w:anchor="_Toc69480706" w:history="1">
            <w:r w:rsidR="00011585" w:rsidRPr="001D385F">
              <w:rPr>
                <w:rStyle w:val="Hyperlink"/>
                <w:lang w:val="en-AU"/>
                <w14:scene3d>
                  <w14:camera w14:prst="orthographicFront"/>
                  <w14:lightRig w14:rig="threePt" w14:dir="t">
                    <w14:rot w14:lat="0" w14:lon="0" w14:rev="0"/>
                  </w14:lightRig>
                </w14:scene3d>
              </w:rPr>
              <w:t>4.2.2</w:t>
            </w:r>
            <w:r w:rsidR="00011585">
              <w:rPr>
                <w:rFonts w:asciiTheme="minorHAnsi" w:hAnsiTheme="minorHAnsi" w:cstheme="minorBidi"/>
                <w:sz w:val="22"/>
                <w:szCs w:val="22"/>
                <w:lang w:val="en-AU" w:eastAsia="en-AU"/>
              </w:rPr>
              <w:tab/>
            </w:r>
            <w:r w:rsidR="00011585" w:rsidRPr="001D385F">
              <w:rPr>
                <w:rStyle w:val="Hyperlink"/>
                <w:lang w:val="en-AU"/>
              </w:rPr>
              <w:t>Hydraulic modelling</w:t>
            </w:r>
            <w:r w:rsidR="00011585">
              <w:rPr>
                <w:webHidden/>
              </w:rPr>
              <w:tab/>
            </w:r>
            <w:r w:rsidR="00011585">
              <w:rPr>
                <w:webHidden/>
              </w:rPr>
              <w:fldChar w:fldCharType="begin"/>
            </w:r>
            <w:r w:rsidR="00011585">
              <w:rPr>
                <w:webHidden/>
              </w:rPr>
              <w:instrText xml:space="preserve"> PAGEREF _Toc69480706 \h </w:instrText>
            </w:r>
            <w:r w:rsidR="00011585">
              <w:rPr>
                <w:webHidden/>
              </w:rPr>
            </w:r>
            <w:r w:rsidR="00011585">
              <w:rPr>
                <w:webHidden/>
              </w:rPr>
              <w:fldChar w:fldCharType="separate"/>
            </w:r>
            <w:r w:rsidR="00011585">
              <w:rPr>
                <w:webHidden/>
              </w:rPr>
              <w:t>21</w:t>
            </w:r>
            <w:r w:rsidR="00011585">
              <w:rPr>
                <w:webHidden/>
              </w:rPr>
              <w:fldChar w:fldCharType="end"/>
            </w:r>
          </w:hyperlink>
        </w:p>
        <w:p w14:paraId="232E62A3" w14:textId="13D4E01F" w:rsidR="00011585" w:rsidRDefault="00E344AA">
          <w:pPr>
            <w:pStyle w:val="TOC2"/>
            <w:rPr>
              <w:rFonts w:asciiTheme="minorHAnsi" w:hAnsiTheme="minorHAnsi" w:cstheme="minorBidi"/>
              <w:sz w:val="22"/>
              <w:szCs w:val="22"/>
              <w:lang w:val="en-AU" w:eastAsia="en-AU"/>
            </w:rPr>
          </w:pPr>
          <w:hyperlink w:anchor="_Toc69480707" w:history="1">
            <w:r w:rsidR="00011585" w:rsidRPr="001D385F">
              <w:rPr>
                <w:rStyle w:val="Hyperlink"/>
              </w:rPr>
              <w:t>4.3</w:t>
            </w:r>
            <w:r w:rsidR="00011585">
              <w:rPr>
                <w:rFonts w:asciiTheme="minorHAnsi" w:hAnsiTheme="minorHAnsi" w:cstheme="minorBidi"/>
                <w:sz w:val="22"/>
                <w:szCs w:val="22"/>
                <w:lang w:val="en-AU" w:eastAsia="en-AU"/>
              </w:rPr>
              <w:tab/>
            </w:r>
            <w:r w:rsidR="00011585" w:rsidRPr="001D385F">
              <w:rPr>
                <w:rStyle w:val="Hyperlink"/>
              </w:rPr>
              <w:t>Risk assessment criteria</w:t>
            </w:r>
            <w:r w:rsidR="00011585">
              <w:rPr>
                <w:webHidden/>
              </w:rPr>
              <w:tab/>
            </w:r>
            <w:r w:rsidR="00011585">
              <w:rPr>
                <w:webHidden/>
              </w:rPr>
              <w:fldChar w:fldCharType="begin"/>
            </w:r>
            <w:r w:rsidR="00011585">
              <w:rPr>
                <w:webHidden/>
              </w:rPr>
              <w:instrText xml:space="preserve"> PAGEREF _Toc69480707 \h </w:instrText>
            </w:r>
            <w:r w:rsidR="00011585">
              <w:rPr>
                <w:webHidden/>
              </w:rPr>
            </w:r>
            <w:r w:rsidR="00011585">
              <w:rPr>
                <w:webHidden/>
              </w:rPr>
              <w:fldChar w:fldCharType="separate"/>
            </w:r>
            <w:r w:rsidR="00011585">
              <w:rPr>
                <w:webHidden/>
              </w:rPr>
              <w:t>21</w:t>
            </w:r>
            <w:r w:rsidR="00011585">
              <w:rPr>
                <w:webHidden/>
              </w:rPr>
              <w:fldChar w:fldCharType="end"/>
            </w:r>
          </w:hyperlink>
        </w:p>
        <w:p w14:paraId="458AC9FA" w14:textId="0C7CBA55" w:rsidR="00011585" w:rsidRDefault="00E344AA">
          <w:pPr>
            <w:pStyle w:val="TOC1"/>
            <w:rPr>
              <w:rFonts w:asciiTheme="minorHAnsi" w:hAnsiTheme="minorHAnsi" w:cstheme="minorBidi"/>
              <w:b w:val="0"/>
              <w:sz w:val="22"/>
              <w:szCs w:val="22"/>
              <w:lang w:val="en-AU" w:eastAsia="en-AU"/>
            </w:rPr>
          </w:pPr>
          <w:hyperlink w:anchor="_Toc69480708" w:history="1">
            <w:r w:rsidR="00011585" w:rsidRPr="001D385F">
              <w:rPr>
                <w:rStyle w:val="Hyperlink"/>
                <w:lang w:val="en-AU"/>
              </w:rPr>
              <w:t>5.</w:t>
            </w:r>
            <w:r w:rsidR="00011585">
              <w:rPr>
                <w:rFonts w:asciiTheme="minorHAnsi" w:hAnsiTheme="minorHAnsi" w:cstheme="minorBidi"/>
                <w:b w:val="0"/>
                <w:sz w:val="22"/>
                <w:szCs w:val="22"/>
                <w:lang w:val="en-AU" w:eastAsia="en-AU"/>
              </w:rPr>
              <w:tab/>
            </w:r>
            <w:r w:rsidR="00011585" w:rsidRPr="001D385F">
              <w:rPr>
                <w:rStyle w:val="Hyperlink"/>
                <w:lang w:val="en-AU"/>
              </w:rPr>
              <w:t>Results</w:t>
            </w:r>
            <w:r w:rsidR="00011585">
              <w:rPr>
                <w:webHidden/>
              </w:rPr>
              <w:tab/>
            </w:r>
            <w:r w:rsidR="00011585">
              <w:rPr>
                <w:webHidden/>
              </w:rPr>
              <w:fldChar w:fldCharType="begin"/>
            </w:r>
            <w:r w:rsidR="00011585">
              <w:rPr>
                <w:webHidden/>
              </w:rPr>
              <w:instrText xml:space="preserve"> PAGEREF _Toc69480708 \h </w:instrText>
            </w:r>
            <w:r w:rsidR="00011585">
              <w:rPr>
                <w:webHidden/>
              </w:rPr>
            </w:r>
            <w:r w:rsidR="00011585">
              <w:rPr>
                <w:webHidden/>
              </w:rPr>
              <w:fldChar w:fldCharType="separate"/>
            </w:r>
            <w:r w:rsidR="00011585">
              <w:rPr>
                <w:webHidden/>
              </w:rPr>
              <w:t>25</w:t>
            </w:r>
            <w:r w:rsidR="00011585">
              <w:rPr>
                <w:webHidden/>
              </w:rPr>
              <w:fldChar w:fldCharType="end"/>
            </w:r>
          </w:hyperlink>
        </w:p>
        <w:p w14:paraId="78734F96" w14:textId="44201E46" w:rsidR="00011585" w:rsidRDefault="00E344AA">
          <w:pPr>
            <w:pStyle w:val="TOC2"/>
            <w:rPr>
              <w:rFonts w:asciiTheme="minorHAnsi" w:hAnsiTheme="minorHAnsi" w:cstheme="minorBidi"/>
              <w:sz w:val="22"/>
              <w:szCs w:val="22"/>
              <w:lang w:val="en-AU" w:eastAsia="en-AU"/>
            </w:rPr>
          </w:pPr>
          <w:hyperlink w:anchor="_Toc69480709" w:history="1">
            <w:r w:rsidR="00011585" w:rsidRPr="001D385F">
              <w:rPr>
                <w:rStyle w:val="Hyperlink"/>
                <w:lang w:val="en-AU"/>
              </w:rPr>
              <w:t>5.1</w:t>
            </w:r>
            <w:r w:rsidR="00011585">
              <w:rPr>
                <w:rFonts w:asciiTheme="minorHAnsi" w:hAnsiTheme="minorHAnsi" w:cstheme="minorBidi"/>
                <w:sz w:val="22"/>
                <w:szCs w:val="22"/>
                <w:lang w:val="en-AU" w:eastAsia="en-AU"/>
              </w:rPr>
              <w:tab/>
            </w:r>
            <w:r w:rsidR="00011585" w:rsidRPr="001D385F">
              <w:rPr>
                <w:rStyle w:val="Hyperlink"/>
                <w:lang w:val="en-AU"/>
              </w:rPr>
              <w:t>Summary modelling results</w:t>
            </w:r>
            <w:r w:rsidR="00011585">
              <w:rPr>
                <w:webHidden/>
              </w:rPr>
              <w:tab/>
            </w:r>
            <w:r w:rsidR="00011585">
              <w:rPr>
                <w:webHidden/>
              </w:rPr>
              <w:fldChar w:fldCharType="begin"/>
            </w:r>
            <w:r w:rsidR="00011585">
              <w:rPr>
                <w:webHidden/>
              </w:rPr>
              <w:instrText xml:space="preserve"> PAGEREF _Toc69480709 \h </w:instrText>
            </w:r>
            <w:r w:rsidR="00011585">
              <w:rPr>
                <w:webHidden/>
              </w:rPr>
            </w:r>
            <w:r w:rsidR="00011585">
              <w:rPr>
                <w:webHidden/>
              </w:rPr>
              <w:fldChar w:fldCharType="separate"/>
            </w:r>
            <w:r w:rsidR="00011585">
              <w:rPr>
                <w:webHidden/>
              </w:rPr>
              <w:t>25</w:t>
            </w:r>
            <w:r w:rsidR="00011585">
              <w:rPr>
                <w:webHidden/>
              </w:rPr>
              <w:fldChar w:fldCharType="end"/>
            </w:r>
          </w:hyperlink>
        </w:p>
        <w:p w14:paraId="7AC1308A" w14:textId="53B89901" w:rsidR="00011585" w:rsidRDefault="00E344AA">
          <w:pPr>
            <w:pStyle w:val="TOC3"/>
            <w:rPr>
              <w:rFonts w:asciiTheme="minorHAnsi" w:hAnsiTheme="minorHAnsi" w:cstheme="minorBidi"/>
              <w:sz w:val="22"/>
              <w:szCs w:val="22"/>
              <w:lang w:val="en-AU" w:eastAsia="en-AU"/>
            </w:rPr>
          </w:pPr>
          <w:hyperlink w:anchor="_Toc69480710" w:history="1">
            <w:r w:rsidR="00011585" w:rsidRPr="001D385F">
              <w:rPr>
                <w:rStyle w:val="Hyperlink"/>
                <w:lang w:val="en-AU"/>
                <w14:scene3d>
                  <w14:camera w14:prst="orthographicFront"/>
                  <w14:lightRig w14:rig="threePt" w14:dir="t">
                    <w14:rot w14:lat="0" w14:lon="0" w14:rev="0"/>
                  </w14:lightRig>
                </w14:scene3d>
              </w:rPr>
              <w:t>5.1.1</w:t>
            </w:r>
            <w:r w:rsidR="00011585">
              <w:rPr>
                <w:rFonts w:asciiTheme="minorHAnsi" w:hAnsiTheme="minorHAnsi" w:cstheme="minorBidi"/>
                <w:sz w:val="22"/>
                <w:szCs w:val="22"/>
                <w:lang w:val="en-AU" w:eastAsia="en-AU"/>
              </w:rPr>
              <w:tab/>
            </w:r>
            <w:r w:rsidR="00011585" w:rsidRPr="001D385F">
              <w:rPr>
                <w:rStyle w:val="Hyperlink"/>
                <w:lang w:val="en-AU"/>
              </w:rPr>
              <w:t>Hydrological modelling</w:t>
            </w:r>
            <w:r w:rsidR="00011585">
              <w:rPr>
                <w:webHidden/>
              </w:rPr>
              <w:tab/>
            </w:r>
            <w:r w:rsidR="00011585">
              <w:rPr>
                <w:webHidden/>
              </w:rPr>
              <w:fldChar w:fldCharType="begin"/>
            </w:r>
            <w:r w:rsidR="00011585">
              <w:rPr>
                <w:webHidden/>
              </w:rPr>
              <w:instrText xml:space="preserve"> PAGEREF _Toc69480710 \h </w:instrText>
            </w:r>
            <w:r w:rsidR="00011585">
              <w:rPr>
                <w:webHidden/>
              </w:rPr>
            </w:r>
            <w:r w:rsidR="00011585">
              <w:rPr>
                <w:webHidden/>
              </w:rPr>
              <w:fldChar w:fldCharType="separate"/>
            </w:r>
            <w:r w:rsidR="00011585">
              <w:rPr>
                <w:webHidden/>
              </w:rPr>
              <w:t>25</w:t>
            </w:r>
            <w:r w:rsidR="00011585">
              <w:rPr>
                <w:webHidden/>
              </w:rPr>
              <w:fldChar w:fldCharType="end"/>
            </w:r>
          </w:hyperlink>
        </w:p>
        <w:p w14:paraId="6070127F" w14:textId="0ED5CE85" w:rsidR="00011585" w:rsidRDefault="00E344AA">
          <w:pPr>
            <w:pStyle w:val="TOC3"/>
            <w:rPr>
              <w:rFonts w:asciiTheme="minorHAnsi" w:hAnsiTheme="minorHAnsi" w:cstheme="minorBidi"/>
              <w:sz w:val="22"/>
              <w:szCs w:val="22"/>
              <w:lang w:val="en-AU" w:eastAsia="en-AU"/>
            </w:rPr>
          </w:pPr>
          <w:hyperlink w:anchor="_Toc69480711" w:history="1">
            <w:r w:rsidR="00011585" w:rsidRPr="001D385F">
              <w:rPr>
                <w:rStyle w:val="Hyperlink"/>
                <w:lang w:val="en-AU"/>
                <w14:scene3d>
                  <w14:camera w14:prst="orthographicFront"/>
                  <w14:lightRig w14:rig="threePt" w14:dir="t">
                    <w14:rot w14:lat="0" w14:lon="0" w14:rev="0"/>
                  </w14:lightRig>
                </w14:scene3d>
              </w:rPr>
              <w:t>5.1.2</w:t>
            </w:r>
            <w:r w:rsidR="00011585">
              <w:rPr>
                <w:rFonts w:asciiTheme="minorHAnsi" w:hAnsiTheme="minorHAnsi" w:cstheme="minorBidi"/>
                <w:sz w:val="22"/>
                <w:szCs w:val="22"/>
                <w:lang w:val="en-AU" w:eastAsia="en-AU"/>
              </w:rPr>
              <w:tab/>
            </w:r>
            <w:r w:rsidR="00011585" w:rsidRPr="001D385F">
              <w:rPr>
                <w:rStyle w:val="Hyperlink"/>
                <w:lang w:val="en-AU"/>
              </w:rPr>
              <w:t>Hydraulic modelling</w:t>
            </w:r>
            <w:r w:rsidR="00011585">
              <w:rPr>
                <w:webHidden/>
              </w:rPr>
              <w:tab/>
            </w:r>
            <w:r w:rsidR="00011585">
              <w:rPr>
                <w:webHidden/>
              </w:rPr>
              <w:fldChar w:fldCharType="begin"/>
            </w:r>
            <w:r w:rsidR="00011585">
              <w:rPr>
                <w:webHidden/>
              </w:rPr>
              <w:instrText xml:space="preserve"> PAGEREF _Toc69480711 \h </w:instrText>
            </w:r>
            <w:r w:rsidR="00011585">
              <w:rPr>
                <w:webHidden/>
              </w:rPr>
            </w:r>
            <w:r w:rsidR="00011585">
              <w:rPr>
                <w:webHidden/>
              </w:rPr>
              <w:fldChar w:fldCharType="separate"/>
            </w:r>
            <w:r w:rsidR="00011585">
              <w:rPr>
                <w:webHidden/>
              </w:rPr>
              <w:t>26</w:t>
            </w:r>
            <w:r w:rsidR="00011585">
              <w:rPr>
                <w:webHidden/>
              </w:rPr>
              <w:fldChar w:fldCharType="end"/>
            </w:r>
          </w:hyperlink>
        </w:p>
        <w:p w14:paraId="46826F6C" w14:textId="10F062BB" w:rsidR="00011585" w:rsidRDefault="00E344AA">
          <w:pPr>
            <w:pStyle w:val="TOC2"/>
            <w:rPr>
              <w:rFonts w:asciiTheme="minorHAnsi" w:hAnsiTheme="minorHAnsi" w:cstheme="minorBidi"/>
              <w:sz w:val="22"/>
              <w:szCs w:val="22"/>
              <w:lang w:val="en-AU" w:eastAsia="en-AU"/>
            </w:rPr>
          </w:pPr>
          <w:hyperlink w:anchor="_Toc69480712" w:history="1">
            <w:r w:rsidR="00011585" w:rsidRPr="001D385F">
              <w:rPr>
                <w:rStyle w:val="Hyperlink"/>
              </w:rPr>
              <w:t>5.2</w:t>
            </w:r>
            <w:r w:rsidR="00011585">
              <w:rPr>
                <w:rFonts w:asciiTheme="minorHAnsi" w:hAnsiTheme="minorHAnsi" w:cstheme="minorBidi"/>
                <w:sz w:val="22"/>
                <w:szCs w:val="22"/>
                <w:lang w:val="en-AU" w:eastAsia="en-AU"/>
              </w:rPr>
              <w:tab/>
            </w:r>
            <w:r w:rsidR="00011585" w:rsidRPr="001D385F">
              <w:rPr>
                <w:rStyle w:val="Hyperlink"/>
              </w:rPr>
              <w:t>Risk assessment</w:t>
            </w:r>
            <w:r w:rsidR="00011585">
              <w:rPr>
                <w:webHidden/>
              </w:rPr>
              <w:tab/>
            </w:r>
            <w:r w:rsidR="00011585">
              <w:rPr>
                <w:webHidden/>
              </w:rPr>
              <w:fldChar w:fldCharType="begin"/>
            </w:r>
            <w:r w:rsidR="00011585">
              <w:rPr>
                <w:webHidden/>
              </w:rPr>
              <w:instrText xml:space="preserve"> PAGEREF _Toc69480712 \h </w:instrText>
            </w:r>
            <w:r w:rsidR="00011585">
              <w:rPr>
                <w:webHidden/>
              </w:rPr>
            </w:r>
            <w:r w:rsidR="00011585">
              <w:rPr>
                <w:webHidden/>
              </w:rPr>
              <w:fldChar w:fldCharType="separate"/>
            </w:r>
            <w:r w:rsidR="00011585">
              <w:rPr>
                <w:webHidden/>
              </w:rPr>
              <w:t>27</w:t>
            </w:r>
            <w:r w:rsidR="00011585">
              <w:rPr>
                <w:webHidden/>
              </w:rPr>
              <w:fldChar w:fldCharType="end"/>
            </w:r>
          </w:hyperlink>
        </w:p>
        <w:p w14:paraId="14F9618C" w14:textId="146C3103" w:rsidR="00011585" w:rsidRDefault="00E344AA">
          <w:pPr>
            <w:pStyle w:val="TOC3"/>
            <w:rPr>
              <w:rFonts w:asciiTheme="minorHAnsi" w:hAnsiTheme="minorHAnsi" w:cstheme="minorBidi"/>
              <w:sz w:val="22"/>
              <w:szCs w:val="22"/>
              <w:lang w:val="en-AU" w:eastAsia="en-AU"/>
            </w:rPr>
          </w:pPr>
          <w:hyperlink w:anchor="_Toc69480713" w:history="1">
            <w:r w:rsidR="00011585" w:rsidRPr="001D385F">
              <w:rPr>
                <w:rStyle w:val="Hyperlink"/>
                <w14:scene3d>
                  <w14:camera w14:prst="orthographicFront"/>
                  <w14:lightRig w14:rig="threePt" w14:dir="t">
                    <w14:rot w14:lat="0" w14:lon="0" w14:rev="0"/>
                  </w14:lightRig>
                </w14:scene3d>
              </w:rPr>
              <w:t>5.2.1</w:t>
            </w:r>
            <w:r w:rsidR="00011585">
              <w:rPr>
                <w:rFonts w:asciiTheme="minorHAnsi" w:hAnsiTheme="minorHAnsi" w:cstheme="minorBidi"/>
                <w:sz w:val="22"/>
                <w:szCs w:val="22"/>
                <w:lang w:val="en-AU" w:eastAsia="en-AU"/>
              </w:rPr>
              <w:tab/>
            </w:r>
            <w:r w:rsidR="00011585" w:rsidRPr="001D385F">
              <w:rPr>
                <w:rStyle w:val="Hyperlink"/>
              </w:rPr>
              <w:t>Reach One – Minta Farm to Cardinia Creek drop structure</w:t>
            </w:r>
            <w:r w:rsidR="00011585">
              <w:rPr>
                <w:webHidden/>
              </w:rPr>
              <w:tab/>
            </w:r>
            <w:r w:rsidR="00011585">
              <w:rPr>
                <w:webHidden/>
              </w:rPr>
              <w:fldChar w:fldCharType="begin"/>
            </w:r>
            <w:r w:rsidR="00011585">
              <w:rPr>
                <w:webHidden/>
              </w:rPr>
              <w:instrText xml:space="preserve"> PAGEREF _Toc69480713 \h </w:instrText>
            </w:r>
            <w:r w:rsidR="00011585">
              <w:rPr>
                <w:webHidden/>
              </w:rPr>
            </w:r>
            <w:r w:rsidR="00011585">
              <w:rPr>
                <w:webHidden/>
              </w:rPr>
              <w:fldChar w:fldCharType="separate"/>
            </w:r>
            <w:r w:rsidR="00011585">
              <w:rPr>
                <w:webHidden/>
              </w:rPr>
              <w:t>27</w:t>
            </w:r>
            <w:r w:rsidR="00011585">
              <w:rPr>
                <w:webHidden/>
              </w:rPr>
              <w:fldChar w:fldCharType="end"/>
            </w:r>
          </w:hyperlink>
        </w:p>
        <w:p w14:paraId="3E1FED22" w14:textId="3E6A4351" w:rsidR="00011585" w:rsidRDefault="00E344AA">
          <w:pPr>
            <w:pStyle w:val="TOC2"/>
            <w:rPr>
              <w:rFonts w:asciiTheme="minorHAnsi" w:hAnsiTheme="minorHAnsi" w:cstheme="minorBidi"/>
              <w:sz w:val="22"/>
              <w:szCs w:val="22"/>
              <w:lang w:val="en-AU" w:eastAsia="en-AU"/>
            </w:rPr>
          </w:pPr>
          <w:hyperlink w:anchor="_Toc69480714" w:history="1">
            <w:r w:rsidR="00011585" w:rsidRPr="001D385F">
              <w:rPr>
                <w:rStyle w:val="Hyperlink"/>
              </w:rPr>
              <w:t>5.3</w:t>
            </w:r>
            <w:r w:rsidR="00011585">
              <w:rPr>
                <w:rFonts w:asciiTheme="minorHAnsi" w:hAnsiTheme="minorHAnsi" w:cstheme="minorBidi"/>
                <w:sz w:val="22"/>
                <w:szCs w:val="22"/>
                <w:lang w:val="en-AU" w:eastAsia="en-AU"/>
              </w:rPr>
              <w:tab/>
            </w:r>
            <w:r w:rsidR="00011585" w:rsidRPr="001D385F">
              <w:rPr>
                <w:rStyle w:val="Hyperlink"/>
              </w:rPr>
              <w:t>Reach 2 and Reach 3 – Cardinia Creek drop structure to Westernport outlet</w:t>
            </w:r>
            <w:r w:rsidR="00011585">
              <w:rPr>
                <w:webHidden/>
              </w:rPr>
              <w:tab/>
            </w:r>
            <w:r w:rsidR="00011585">
              <w:rPr>
                <w:webHidden/>
              </w:rPr>
              <w:fldChar w:fldCharType="begin"/>
            </w:r>
            <w:r w:rsidR="00011585">
              <w:rPr>
                <w:webHidden/>
              </w:rPr>
              <w:instrText xml:space="preserve"> PAGEREF _Toc69480714 \h </w:instrText>
            </w:r>
            <w:r w:rsidR="00011585">
              <w:rPr>
                <w:webHidden/>
              </w:rPr>
            </w:r>
            <w:r w:rsidR="00011585">
              <w:rPr>
                <w:webHidden/>
              </w:rPr>
              <w:fldChar w:fldCharType="separate"/>
            </w:r>
            <w:r w:rsidR="00011585">
              <w:rPr>
                <w:webHidden/>
              </w:rPr>
              <w:t>32</w:t>
            </w:r>
            <w:r w:rsidR="00011585">
              <w:rPr>
                <w:webHidden/>
              </w:rPr>
              <w:fldChar w:fldCharType="end"/>
            </w:r>
          </w:hyperlink>
        </w:p>
        <w:p w14:paraId="69D910CF" w14:textId="6F6740DF" w:rsidR="00011585" w:rsidRDefault="00E344AA">
          <w:pPr>
            <w:pStyle w:val="TOC3"/>
            <w:rPr>
              <w:rFonts w:asciiTheme="minorHAnsi" w:hAnsiTheme="minorHAnsi" w:cstheme="minorBidi"/>
              <w:sz w:val="22"/>
              <w:szCs w:val="22"/>
              <w:lang w:val="en-AU" w:eastAsia="en-AU"/>
            </w:rPr>
          </w:pPr>
          <w:hyperlink w:anchor="_Toc69480715" w:history="1">
            <w:r w:rsidR="00011585" w:rsidRPr="001D385F">
              <w:rPr>
                <w:rStyle w:val="Hyperlink"/>
                <w14:scene3d>
                  <w14:camera w14:prst="orthographicFront"/>
                  <w14:lightRig w14:rig="threePt" w14:dir="t">
                    <w14:rot w14:lat="0" w14:lon="0" w14:rev="0"/>
                  </w14:lightRig>
                </w14:scene3d>
              </w:rPr>
              <w:t>5.3.1</w:t>
            </w:r>
            <w:r w:rsidR="00011585">
              <w:rPr>
                <w:rFonts w:asciiTheme="minorHAnsi" w:hAnsiTheme="minorHAnsi" w:cstheme="minorBidi"/>
                <w:sz w:val="22"/>
                <w:szCs w:val="22"/>
                <w:lang w:val="en-AU" w:eastAsia="en-AU"/>
              </w:rPr>
              <w:tab/>
            </w:r>
            <w:r w:rsidR="00011585" w:rsidRPr="001D385F">
              <w:rPr>
                <w:rStyle w:val="Hyperlink"/>
              </w:rPr>
              <w:t>Channel stability risks</w:t>
            </w:r>
            <w:r w:rsidR="00011585">
              <w:rPr>
                <w:webHidden/>
              </w:rPr>
              <w:tab/>
            </w:r>
            <w:r w:rsidR="00011585">
              <w:rPr>
                <w:webHidden/>
              </w:rPr>
              <w:fldChar w:fldCharType="begin"/>
            </w:r>
            <w:r w:rsidR="00011585">
              <w:rPr>
                <w:webHidden/>
              </w:rPr>
              <w:instrText xml:space="preserve"> PAGEREF _Toc69480715 \h </w:instrText>
            </w:r>
            <w:r w:rsidR="00011585">
              <w:rPr>
                <w:webHidden/>
              </w:rPr>
            </w:r>
            <w:r w:rsidR="00011585">
              <w:rPr>
                <w:webHidden/>
              </w:rPr>
              <w:fldChar w:fldCharType="separate"/>
            </w:r>
            <w:r w:rsidR="00011585">
              <w:rPr>
                <w:webHidden/>
              </w:rPr>
              <w:t>33</w:t>
            </w:r>
            <w:r w:rsidR="00011585">
              <w:rPr>
                <w:webHidden/>
              </w:rPr>
              <w:fldChar w:fldCharType="end"/>
            </w:r>
          </w:hyperlink>
        </w:p>
        <w:p w14:paraId="4766BEC6" w14:textId="219F87CE" w:rsidR="00011585" w:rsidRDefault="00E344AA">
          <w:pPr>
            <w:pStyle w:val="TOC1"/>
            <w:rPr>
              <w:rFonts w:asciiTheme="minorHAnsi" w:hAnsiTheme="minorHAnsi" w:cstheme="minorBidi"/>
              <w:b w:val="0"/>
              <w:sz w:val="22"/>
              <w:szCs w:val="22"/>
              <w:lang w:val="en-AU" w:eastAsia="en-AU"/>
            </w:rPr>
          </w:pPr>
          <w:hyperlink w:anchor="_Toc69480716" w:history="1">
            <w:r w:rsidR="00011585" w:rsidRPr="001D385F">
              <w:rPr>
                <w:rStyle w:val="Hyperlink"/>
              </w:rPr>
              <w:t>6.</w:t>
            </w:r>
            <w:r w:rsidR="00011585">
              <w:rPr>
                <w:rFonts w:asciiTheme="minorHAnsi" w:hAnsiTheme="minorHAnsi" w:cstheme="minorBidi"/>
                <w:b w:val="0"/>
                <w:sz w:val="22"/>
                <w:szCs w:val="22"/>
                <w:lang w:val="en-AU" w:eastAsia="en-AU"/>
              </w:rPr>
              <w:tab/>
            </w:r>
            <w:r w:rsidR="00011585" w:rsidRPr="001D385F">
              <w:rPr>
                <w:rStyle w:val="Hyperlink"/>
              </w:rPr>
              <w:t>Summary and recommendations</w:t>
            </w:r>
            <w:r w:rsidR="00011585">
              <w:rPr>
                <w:webHidden/>
              </w:rPr>
              <w:tab/>
            </w:r>
            <w:r w:rsidR="00011585">
              <w:rPr>
                <w:webHidden/>
              </w:rPr>
              <w:fldChar w:fldCharType="begin"/>
            </w:r>
            <w:r w:rsidR="00011585">
              <w:rPr>
                <w:webHidden/>
              </w:rPr>
              <w:instrText xml:space="preserve"> PAGEREF _Toc69480716 \h </w:instrText>
            </w:r>
            <w:r w:rsidR="00011585">
              <w:rPr>
                <w:webHidden/>
              </w:rPr>
            </w:r>
            <w:r w:rsidR="00011585">
              <w:rPr>
                <w:webHidden/>
              </w:rPr>
              <w:fldChar w:fldCharType="separate"/>
            </w:r>
            <w:r w:rsidR="00011585">
              <w:rPr>
                <w:webHidden/>
              </w:rPr>
              <w:t>40</w:t>
            </w:r>
            <w:r w:rsidR="00011585">
              <w:rPr>
                <w:webHidden/>
              </w:rPr>
              <w:fldChar w:fldCharType="end"/>
            </w:r>
          </w:hyperlink>
        </w:p>
        <w:p w14:paraId="4BB18925" w14:textId="4EED0AB0" w:rsidR="00011585" w:rsidRDefault="00E344AA">
          <w:pPr>
            <w:pStyle w:val="TOC2"/>
            <w:rPr>
              <w:rFonts w:asciiTheme="minorHAnsi" w:hAnsiTheme="minorHAnsi" w:cstheme="minorBidi"/>
              <w:sz w:val="22"/>
              <w:szCs w:val="22"/>
              <w:lang w:val="en-AU" w:eastAsia="en-AU"/>
            </w:rPr>
          </w:pPr>
          <w:hyperlink w:anchor="_Toc69480717" w:history="1">
            <w:r w:rsidR="00011585" w:rsidRPr="001D385F">
              <w:rPr>
                <w:rStyle w:val="Hyperlink"/>
              </w:rPr>
              <w:t>6.1</w:t>
            </w:r>
            <w:r w:rsidR="00011585">
              <w:rPr>
                <w:rFonts w:asciiTheme="minorHAnsi" w:hAnsiTheme="minorHAnsi" w:cstheme="minorBidi"/>
                <w:sz w:val="22"/>
                <w:szCs w:val="22"/>
                <w:lang w:val="en-AU" w:eastAsia="en-AU"/>
              </w:rPr>
              <w:tab/>
            </w:r>
            <w:r w:rsidR="00011585" w:rsidRPr="001D385F">
              <w:rPr>
                <w:rStyle w:val="Hyperlink"/>
              </w:rPr>
              <w:t>Summary</w:t>
            </w:r>
            <w:r w:rsidR="00011585">
              <w:rPr>
                <w:webHidden/>
              </w:rPr>
              <w:tab/>
            </w:r>
            <w:r w:rsidR="00011585">
              <w:rPr>
                <w:webHidden/>
              </w:rPr>
              <w:fldChar w:fldCharType="begin"/>
            </w:r>
            <w:r w:rsidR="00011585">
              <w:rPr>
                <w:webHidden/>
              </w:rPr>
              <w:instrText xml:space="preserve"> PAGEREF _Toc69480717 \h </w:instrText>
            </w:r>
            <w:r w:rsidR="00011585">
              <w:rPr>
                <w:webHidden/>
              </w:rPr>
            </w:r>
            <w:r w:rsidR="00011585">
              <w:rPr>
                <w:webHidden/>
              </w:rPr>
              <w:fldChar w:fldCharType="separate"/>
            </w:r>
            <w:r w:rsidR="00011585">
              <w:rPr>
                <w:webHidden/>
              </w:rPr>
              <w:t>40</w:t>
            </w:r>
            <w:r w:rsidR="00011585">
              <w:rPr>
                <w:webHidden/>
              </w:rPr>
              <w:fldChar w:fldCharType="end"/>
            </w:r>
          </w:hyperlink>
        </w:p>
        <w:p w14:paraId="74E73AC3" w14:textId="48F5A52E" w:rsidR="00011585" w:rsidRDefault="00E344AA">
          <w:pPr>
            <w:pStyle w:val="TOC3"/>
            <w:rPr>
              <w:rFonts w:asciiTheme="minorHAnsi" w:hAnsiTheme="minorHAnsi" w:cstheme="minorBidi"/>
              <w:sz w:val="22"/>
              <w:szCs w:val="22"/>
              <w:lang w:val="en-AU" w:eastAsia="en-AU"/>
            </w:rPr>
          </w:pPr>
          <w:hyperlink w:anchor="_Toc69480718" w:history="1">
            <w:r w:rsidR="00011585" w:rsidRPr="001D385F">
              <w:rPr>
                <w:rStyle w:val="Hyperlink"/>
                <w14:scene3d>
                  <w14:camera w14:prst="orthographicFront"/>
                  <w14:lightRig w14:rig="threePt" w14:dir="t">
                    <w14:rot w14:lat="0" w14:lon="0" w14:rev="0"/>
                  </w14:lightRig>
                </w14:scene3d>
              </w:rPr>
              <w:t>6.1.1</w:t>
            </w:r>
            <w:r w:rsidR="00011585">
              <w:rPr>
                <w:rFonts w:asciiTheme="minorHAnsi" w:hAnsiTheme="minorHAnsi" w:cstheme="minorBidi"/>
                <w:sz w:val="22"/>
                <w:szCs w:val="22"/>
                <w:lang w:val="en-AU" w:eastAsia="en-AU"/>
              </w:rPr>
              <w:tab/>
            </w:r>
            <w:r w:rsidR="00011585" w:rsidRPr="001D385F">
              <w:rPr>
                <w:rStyle w:val="Hyperlink"/>
              </w:rPr>
              <w:t>Impacts associated with Minta Farm PSP</w:t>
            </w:r>
            <w:r w:rsidR="00011585">
              <w:rPr>
                <w:webHidden/>
              </w:rPr>
              <w:tab/>
            </w:r>
            <w:r w:rsidR="00011585">
              <w:rPr>
                <w:webHidden/>
              </w:rPr>
              <w:fldChar w:fldCharType="begin"/>
            </w:r>
            <w:r w:rsidR="00011585">
              <w:rPr>
                <w:webHidden/>
              </w:rPr>
              <w:instrText xml:space="preserve"> PAGEREF _Toc69480718 \h </w:instrText>
            </w:r>
            <w:r w:rsidR="00011585">
              <w:rPr>
                <w:webHidden/>
              </w:rPr>
            </w:r>
            <w:r w:rsidR="00011585">
              <w:rPr>
                <w:webHidden/>
              </w:rPr>
              <w:fldChar w:fldCharType="separate"/>
            </w:r>
            <w:r w:rsidR="00011585">
              <w:rPr>
                <w:webHidden/>
              </w:rPr>
              <w:t>40</w:t>
            </w:r>
            <w:r w:rsidR="00011585">
              <w:rPr>
                <w:webHidden/>
              </w:rPr>
              <w:fldChar w:fldCharType="end"/>
            </w:r>
          </w:hyperlink>
        </w:p>
        <w:p w14:paraId="65C64160" w14:textId="69FE4B9B" w:rsidR="00011585" w:rsidRDefault="00E344AA">
          <w:pPr>
            <w:pStyle w:val="TOC3"/>
            <w:rPr>
              <w:rFonts w:asciiTheme="minorHAnsi" w:hAnsiTheme="minorHAnsi" w:cstheme="minorBidi"/>
              <w:sz w:val="22"/>
              <w:szCs w:val="22"/>
              <w:lang w:val="en-AU" w:eastAsia="en-AU"/>
            </w:rPr>
          </w:pPr>
          <w:hyperlink w:anchor="_Toc69480719" w:history="1">
            <w:r w:rsidR="00011585" w:rsidRPr="001D385F">
              <w:rPr>
                <w:rStyle w:val="Hyperlink"/>
                <w14:scene3d>
                  <w14:camera w14:prst="orthographicFront"/>
                  <w14:lightRig w14:rig="threePt" w14:dir="t">
                    <w14:rot w14:lat="0" w14:lon="0" w14:rev="0"/>
                  </w14:lightRig>
                </w14:scene3d>
              </w:rPr>
              <w:t>6.1.2</w:t>
            </w:r>
            <w:r w:rsidR="00011585">
              <w:rPr>
                <w:rFonts w:asciiTheme="minorHAnsi" w:hAnsiTheme="minorHAnsi" w:cstheme="minorBidi"/>
                <w:sz w:val="22"/>
                <w:szCs w:val="22"/>
                <w:lang w:val="en-AU" w:eastAsia="en-AU"/>
              </w:rPr>
              <w:tab/>
            </w:r>
            <w:r w:rsidR="00011585" w:rsidRPr="001D385F">
              <w:rPr>
                <w:rStyle w:val="Hyperlink"/>
              </w:rPr>
              <w:t>Impacts associated with Officer South Employment and Cardinia South PSPs</w:t>
            </w:r>
            <w:r w:rsidR="00011585">
              <w:rPr>
                <w:webHidden/>
              </w:rPr>
              <w:tab/>
            </w:r>
            <w:r w:rsidR="00011585">
              <w:rPr>
                <w:webHidden/>
              </w:rPr>
              <w:fldChar w:fldCharType="begin"/>
            </w:r>
            <w:r w:rsidR="00011585">
              <w:rPr>
                <w:webHidden/>
              </w:rPr>
              <w:instrText xml:space="preserve"> PAGEREF _Toc69480719 \h </w:instrText>
            </w:r>
            <w:r w:rsidR="00011585">
              <w:rPr>
                <w:webHidden/>
              </w:rPr>
            </w:r>
            <w:r w:rsidR="00011585">
              <w:rPr>
                <w:webHidden/>
              </w:rPr>
              <w:fldChar w:fldCharType="separate"/>
            </w:r>
            <w:r w:rsidR="00011585">
              <w:rPr>
                <w:webHidden/>
              </w:rPr>
              <w:t>40</w:t>
            </w:r>
            <w:r w:rsidR="00011585">
              <w:rPr>
                <w:webHidden/>
              </w:rPr>
              <w:fldChar w:fldCharType="end"/>
            </w:r>
          </w:hyperlink>
        </w:p>
        <w:p w14:paraId="01C6E781" w14:textId="013E26B5" w:rsidR="00011585" w:rsidRDefault="00E344AA">
          <w:pPr>
            <w:pStyle w:val="TOC2"/>
            <w:rPr>
              <w:rFonts w:asciiTheme="minorHAnsi" w:hAnsiTheme="minorHAnsi" w:cstheme="minorBidi"/>
              <w:sz w:val="22"/>
              <w:szCs w:val="22"/>
              <w:lang w:val="en-AU" w:eastAsia="en-AU"/>
            </w:rPr>
          </w:pPr>
          <w:hyperlink w:anchor="_Toc69480720" w:history="1">
            <w:r w:rsidR="00011585" w:rsidRPr="001D385F">
              <w:rPr>
                <w:rStyle w:val="Hyperlink"/>
              </w:rPr>
              <w:t>6.2</w:t>
            </w:r>
            <w:r w:rsidR="00011585">
              <w:rPr>
                <w:rFonts w:asciiTheme="minorHAnsi" w:hAnsiTheme="minorHAnsi" w:cstheme="minorBidi"/>
                <w:sz w:val="22"/>
                <w:szCs w:val="22"/>
                <w:lang w:val="en-AU" w:eastAsia="en-AU"/>
              </w:rPr>
              <w:tab/>
            </w:r>
            <w:r w:rsidR="00011585" w:rsidRPr="001D385F">
              <w:rPr>
                <w:rStyle w:val="Hyperlink"/>
              </w:rPr>
              <w:t>Mitigation recommendations</w:t>
            </w:r>
            <w:r w:rsidR="00011585">
              <w:rPr>
                <w:webHidden/>
              </w:rPr>
              <w:tab/>
            </w:r>
            <w:r w:rsidR="00011585">
              <w:rPr>
                <w:webHidden/>
              </w:rPr>
              <w:fldChar w:fldCharType="begin"/>
            </w:r>
            <w:r w:rsidR="00011585">
              <w:rPr>
                <w:webHidden/>
              </w:rPr>
              <w:instrText xml:space="preserve"> PAGEREF _Toc69480720 \h </w:instrText>
            </w:r>
            <w:r w:rsidR="00011585">
              <w:rPr>
                <w:webHidden/>
              </w:rPr>
            </w:r>
            <w:r w:rsidR="00011585">
              <w:rPr>
                <w:webHidden/>
              </w:rPr>
              <w:fldChar w:fldCharType="separate"/>
            </w:r>
            <w:r w:rsidR="00011585">
              <w:rPr>
                <w:webHidden/>
              </w:rPr>
              <w:t>41</w:t>
            </w:r>
            <w:r w:rsidR="00011585">
              <w:rPr>
                <w:webHidden/>
              </w:rPr>
              <w:fldChar w:fldCharType="end"/>
            </w:r>
          </w:hyperlink>
        </w:p>
        <w:p w14:paraId="46ABFB5B" w14:textId="2C84FE9C" w:rsidR="00011585" w:rsidRDefault="00E344AA">
          <w:pPr>
            <w:pStyle w:val="TOC3"/>
            <w:rPr>
              <w:rFonts w:asciiTheme="minorHAnsi" w:hAnsiTheme="minorHAnsi" w:cstheme="minorBidi"/>
              <w:sz w:val="22"/>
              <w:szCs w:val="22"/>
              <w:lang w:val="en-AU" w:eastAsia="en-AU"/>
            </w:rPr>
          </w:pPr>
          <w:hyperlink w:anchor="_Toc69480721" w:history="1">
            <w:r w:rsidR="00011585" w:rsidRPr="001D385F">
              <w:rPr>
                <w:rStyle w:val="Hyperlink"/>
                <w14:scene3d>
                  <w14:camera w14:prst="orthographicFront"/>
                  <w14:lightRig w14:rig="threePt" w14:dir="t">
                    <w14:rot w14:lat="0" w14:lon="0" w14:rev="0"/>
                  </w14:lightRig>
                </w14:scene3d>
              </w:rPr>
              <w:t>6.2.1</w:t>
            </w:r>
            <w:r w:rsidR="00011585">
              <w:rPr>
                <w:rFonts w:asciiTheme="minorHAnsi" w:hAnsiTheme="minorHAnsi" w:cstheme="minorBidi"/>
                <w:sz w:val="22"/>
                <w:szCs w:val="22"/>
                <w:lang w:val="en-AU" w:eastAsia="en-AU"/>
              </w:rPr>
              <w:tab/>
            </w:r>
            <w:r w:rsidR="00011585" w:rsidRPr="001D385F">
              <w:rPr>
                <w:rStyle w:val="Hyperlink"/>
              </w:rPr>
              <w:t>Minta Farm PSP</w:t>
            </w:r>
            <w:r w:rsidR="00011585">
              <w:rPr>
                <w:webHidden/>
              </w:rPr>
              <w:tab/>
            </w:r>
            <w:r w:rsidR="00011585">
              <w:rPr>
                <w:webHidden/>
              </w:rPr>
              <w:fldChar w:fldCharType="begin"/>
            </w:r>
            <w:r w:rsidR="00011585">
              <w:rPr>
                <w:webHidden/>
              </w:rPr>
              <w:instrText xml:space="preserve"> PAGEREF _Toc69480721 \h </w:instrText>
            </w:r>
            <w:r w:rsidR="00011585">
              <w:rPr>
                <w:webHidden/>
              </w:rPr>
            </w:r>
            <w:r w:rsidR="00011585">
              <w:rPr>
                <w:webHidden/>
              </w:rPr>
              <w:fldChar w:fldCharType="separate"/>
            </w:r>
            <w:r w:rsidR="00011585">
              <w:rPr>
                <w:webHidden/>
              </w:rPr>
              <w:t>41</w:t>
            </w:r>
            <w:r w:rsidR="00011585">
              <w:rPr>
                <w:webHidden/>
              </w:rPr>
              <w:fldChar w:fldCharType="end"/>
            </w:r>
          </w:hyperlink>
        </w:p>
        <w:p w14:paraId="4ED6B471" w14:textId="7943997F" w:rsidR="00011585" w:rsidRDefault="00E344AA">
          <w:pPr>
            <w:pStyle w:val="TOC3"/>
            <w:rPr>
              <w:rFonts w:asciiTheme="minorHAnsi" w:hAnsiTheme="minorHAnsi" w:cstheme="minorBidi"/>
              <w:sz w:val="22"/>
              <w:szCs w:val="22"/>
              <w:lang w:val="en-AU" w:eastAsia="en-AU"/>
            </w:rPr>
          </w:pPr>
          <w:hyperlink w:anchor="_Toc69480722" w:history="1">
            <w:r w:rsidR="00011585" w:rsidRPr="001D385F">
              <w:rPr>
                <w:rStyle w:val="Hyperlink"/>
                <w14:scene3d>
                  <w14:camera w14:prst="orthographicFront"/>
                  <w14:lightRig w14:rig="threePt" w14:dir="t">
                    <w14:rot w14:lat="0" w14:lon="0" w14:rev="0"/>
                  </w14:lightRig>
                </w14:scene3d>
              </w:rPr>
              <w:t>6.2.2</w:t>
            </w:r>
            <w:r w:rsidR="00011585">
              <w:rPr>
                <w:rFonts w:asciiTheme="minorHAnsi" w:hAnsiTheme="minorHAnsi" w:cstheme="minorBidi"/>
                <w:sz w:val="22"/>
                <w:szCs w:val="22"/>
                <w:lang w:val="en-AU" w:eastAsia="en-AU"/>
              </w:rPr>
              <w:tab/>
            </w:r>
            <w:r w:rsidR="00011585" w:rsidRPr="001D385F">
              <w:rPr>
                <w:rStyle w:val="Hyperlink"/>
              </w:rPr>
              <w:t>Officer South Employment and Cardinia South PSPs</w:t>
            </w:r>
            <w:r w:rsidR="00011585">
              <w:rPr>
                <w:webHidden/>
              </w:rPr>
              <w:tab/>
            </w:r>
            <w:r w:rsidR="00011585">
              <w:rPr>
                <w:webHidden/>
              </w:rPr>
              <w:fldChar w:fldCharType="begin"/>
            </w:r>
            <w:r w:rsidR="00011585">
              <w:rPr>
                <w:webHidden/>
              </w:rPr>
              <w:instrText xml:space="preserve"> PAGEREF _Toc69480722 \h </w:instrText>
            </w:r>
            <w:r w:rsidR="00011585">
              <w:rPr>
                <w:webHidden/>
              </w:rPr>
            </w:r>
            <w:r w:rsidR="00011585">
              <w:rPr>
                <w:webHidden/>
              </w:rPr>
              <w:fldChar w:fldCharType="separate"/>
            </w:r>
            <w:r w:rsidR="00011585">
              <w:rPr>
                <w:webHidden/>
              </w:rPr>
              <w:t>41</w:t>
            </w:r>
            <w:r w:rsidR="00011585">
              <w:rPr>
                <w:webHidden/>
              </w:rPr>
              <w:fldChar w:fldCharType="end"/>
            </w:r>
          </w:hyperlink>
        </w:p>
        <w:p w14:paraId="1DD5307D" w14:textId="0F324F1E" w:rsidR="00011585" w:rsidRDefault="00E344AA">
          <w:pPr>
            <w:pStyle w:val="TOC2"/>
            <w:rPr>
              <w:rFonts w:asciiTheme="minorHAnsi" w:hAnsiTheme="minorHAnsi" w:cstheme="minorBidi"/>
              <w:sz w:val="22"/>
              <w:szCs w:val="22"/>
              <w:lang w:val="en-AU" w:eastAsia="en-AU"/>
            </w:rPr>
          </w:pPr>
          <w:hyperlink w:anchor="_Toc69480723" w:history="1">
            <w:r w:rsidR="00011585" w:rsidRPr="001D385F">
              <w:rPr>
                <w:rStyle w:val="Hyperlink"/>
              </w:rPr>
              <w:t>6.3</w:t>
            </w:r>
            <w:r w:rsidR="00011585">
              <w:rPr>
                <w:rFonts w:asciiTheme="minorHAnsi" w:hAnsiTheme="minorHAnsi" w:cstheme="minorBidi"/>
                <w:sz w:val="22"/>
                <w:szCs w:val="22"/>
                <w:lang w:val="en-AU" w:eastAsia="en-AU"/>
              </w:rPr>
              <w:tab/>
            </w:r>
            <w:r w:rsidR="00011585" w:rsidRPr="001D385F">
              <w:rPr>
                <w:rStyle w:val="Hyperlink"/>
              </w:rPr>
              <w:t>Next steps</w:t>
            </w:r>
            <w:r w:rsidR="00011585">
              <w:rPr>
                <w:webHidden/>
              </w:rPr>
              <w:tab/>
            </w:r>
            <w:r w:rsidR="00011585">
              <w:rPr>
                <w:webHidden/>
              </w:rPr>
              <w:fldChar w:fldCharType="begin"/>
            </w:r>
            <w:r w:rsidR="00011585">
              <w:rPr>
                <w:webHidden/>
              </w:rPr>
              <w:instrText xml:space="preserve"> PAGEREF _Toc69480723 \h </w:instrText>
            </w:r>
            <w:r w:rsidR="00011585">
              <w:rPr>
                <w:webHidden/>
              </w:rPr>
            </w:r>
            <w:r w:rsidR="00011585">
              <w:rPr>
                <w:webHidden/>
              </w:rPr>
              <w:fldChar w:fldCharType="separate"/>
            </w:r>
            <w:r w:rsidR="00011585">
              <w:rPr>
                <w:webHidden/>
              </w:rPr>
              <w:t>42</w:t>
            </w:r>
            <w:r w:rsidR="00011585">
              <w:rPr>
                <w:webHidden/>
              </w:rPr>
              <w:fldChar w:fldCharType="end"/>
            </w:r>
          </w:hyperlink>
        </w:p>
        <w:p w14:paraId="16B1F24C" w14:textId="15B4F5FE" w:rsidR="00011585" w:rsidRDefault="00E344AA">
          <w:pPr>
            <w:pStyle w:val="TOC1"/>
            <w:rPr>
              <w:rFonts w:asciiTheme="minorHAnsi" w:hAnsiTheme="minorHAnsi" w:cstheme="minorBidi"/>
              <w:b w:val="0"/>
              <w:sz w:val="22"/>
              <w:szCs w:val="22"/>
              <w:lang w:val="en-AU" w:eastAsia="en-AU"/>
            </w:rPr>
          </w:pPr>
          <w:hyperlink w:anchor="_Toc69480724" w:history="1">
            <w:r w:rsidR="00011585" w:rsidRPr="001D385F">
              <w:rPr>
                <w:rStyle w:val="Hyperlink"/>
              </w:rPr>
              <w:t>7.</w:t>
            </w:r>
            <w:r w:rsidR="00011585">
              <w:rPr>
                <w:rFonts w:asciiTheme="minorHAnsi" w:hAnsiTheme="minorHAnsi" w:cstheme="minorBidi"/>
                <w:b w:val="0"/>
                <w:sz w:val="22"/>
                <w:szCs w:val="22"/>
                <w:lang w:val="en-AU" w:eastAsia="en-AU"/>
              </w:rPr>
              <w:tab/>
            </w:r>
            <w:r w:rsidR="00011585" w:rsidRPr="001D385F">
              <w:rPr>
                <w:rStyle w:val="Hyperlink"/>
              </w:rPr>
              <w:t>References</w:t>
            </w:r>
            <w:r w:rsidR="00011585">
              <w:rPr>
                <w:webHidden/>
              </w:rPr>
              <w:tab/>
            </w:r>
            <w:r w:rsidR="00011585">
              <w:rPr>
                <w:webHidden/>
              </w:rPr>
              <w:fldChar w:fldCharType="begin"/>
            </w:r>
            <w:r w:rsidR="00011585">
              <w:rPr>
                <w:webHidden/>
              </w:rPr>
              <w:instrText xml:space="preserve"> PAGEREF _Toc69480724 \h </w:instrText>
            </w:r>
            <w:r w:rsidR="00011585">
              <w:rPr>
                <w:webHidden/>
              </w:rPr>
            </w:r>
            <w:r w:rsidR="00011585">
              <w:rPr>
                <w:webHidden/>
              </w:rPr>
              <w:fldChar w:fldCharType="separate"/>
            </w:r>
            <w:r w:rsidR="00011585">
              <w:rPr>
                <w:webHidden/>
              </w:rPr>
              <w:t>43</w:t>
            </w:r>
            <w:r w:rsidR="00011585">
              <w:rPr>
                <w:webHidden/>
              </w:rPr>
              <w:fldChar w:fldCharType="end"/>
            </w:r>
          </w:hyperlink>
        </w:p>
        <w:p w14:paraId="7B85474B" w14:textId="43A8FAA4" w:rsidR="0064413A" w:rsidRPr="0064413A" w:rsidRDefault="0064413A" w:rsidP="00204A7E">
          <w:pPr>
            <w:pStyle w:val="TOC1"/>
          </w:pPr>
          <w:r w:rsidRPr="0064413A">
            <w:fldChar w:fldCharType="end"/>
          </w:r>
        </w:p>
        <w:p w14:paraId="4F38CE5E" w14:textId="6769C04E" w:rsidR="00BE5F47" w:rsidRDefault="0064413A">
          <w:pPr>
            <w:pStyle w:val="TOC1"/>
            <w:rPr>
              <w:rFonts w:asciiTheme="minorHAnsi" w:hAnsiTheme="minorHAnsi" w:cstheme="minorBidi"/>
              <w:b w:val="0"/>
              <w:sz w:val="22"/>
              <w:szCs w:val="22"/>
              <w:lang w:val="en-AU" w:eastAsia="en-AU"/>
            </w:rPr>
          </w:pPr>
          <w:r w:rsidRPr="0064413A">
            <w:rPr>
              <w:b w:val="0"/>
            </w:rPr>
            <w:fldChar w:fldCharType="begin"/>
          </w:r>
          <w:r w:rsidRPr="0064413A">
            <w:rPr>
              <w:b w:val="0"/>
            </w:rPr>
            <w:instrText xml:space="preserve"> TOC \n \h \z \t "Heading 9,1,Appendix subheading 1,2,Appendix subheading 2,3" </w:instrText>
          </w:r>
          <w:r w:rsidRPr="0064413A">
            <w:rPr>
              <w:b w:val="0"/>
            </w:rPr>
            <w:fldChar w:fldCharType="separate"/>
          </w:r>
          <w:hyperlink w:anchor="_Toc69461582" w:history="1">
            <w:r w:rsidR="00BE5F47" w:rsidRPr="00BC22AA">
              <w:rPr>
                <w:rStyle w:val="Hyperlink"/>
              </w:rPr>
              <w:t>Appendix A. Hydrological modelling methodology</w:t>
            </w:r>
          </w:hyperlink>
        </w:p>
        <w:p w14:paraId="5151BBA6" w14:textId="20F2FBF7" w:rsidR="00BE5F47" w:rsidRDefault="00E344AA">
          <w:pPr>
            <w:pStyle w:val="TOC2"/>
            <w:rPr>
              <w:rFonts w:asciiTheme="minorHAnsi" w:hAnsiTheme="minorHAnsi" w:cstheme="minorBidi"/>
              <w:sz w:val="22"/>
              <w:szCs w:val="22"/>
              <w:lang w:val="en-AU" w:eastAsia="en-AU"/>
            </w:rPr>
          </w:pPr>
          <w:hyperlink w:anchor="_Toc69461583" w:history="1">
            <w:r w:rsidR="00BE5F47" w:rsidRPr="00BC22AA">
              <w:rPr>
                <w:rStyle w:val="Hyperlink"/>
                <w:lang w:val="en-AU" w:eastAsia="en-AU"/>
              </w:rPr>
              <w:t>A.1</w:t>
            </w:r>
            <w:r w:rsidR="00BE5F47">
              <w:rPr>
                <w:rFonts w:asciiTheme="minorHAnsi" w:hAnsiTheme="minorHAnsi" w:cstheme="minorBidi"/>
                <w:sz w:val="22"/>
                <w:szCs w:val="22"/>
                <w:lang w:val="en-AU" w:eastAsia="en-AU"/>
              </w:rPr>
              <w:tab/>
            </w:r>
            <w:r w:rsidR="00BE5F47" w:rsidRPr="00BC22AA">
              <w:rPr>
                <w:rStyle w:val="Hyperlink"/>
                <w:lang w:val="en-AU" w:eastAsia="en-AU"/>
              </w:rPr>
              <w:t>Selection of appropriate catchment modelling framework</w:t>
            </w:r>
          </w:hyperlink>
        </w:p>
        <w:p w14:paraId="47989E6E" w14:textId="64E2CB3C" w:rsidR="00BE5F47" w:rsidRDefault="00E344AA">
          <w:pPr>
            <w:pStyle w:val="TOC2"/>
            <w:rPr>
              <w:rFonts w:asciiTheme="minorHAnsi" w:hAnsiTheme="minorHAnsi" w:cstheme="minorBidi"/>
              <w:sz w:val="22"/>
              <w:szCs w:val="22"/>
              <w:lang w:val="en-AU" w:eastAsia="en-AU"/>
            </w:rPr>
          </w:pPr>
          <w:hyperlink w:anchor="_Toc69461584" w:history="1">
            <w:r w:rsidR="00BE5F47" w:rsidRPr="00BC22AA">
              <w:rPr>
                <w:rStyle w:val="Hyperlink"/>
              </w:rPr>
              <w:t>A.2</w:t>
            </w:r>
            <w:r w:rsidR="00BE5F47">
              <w:rPr>
                <w:rFonts w:asciiTheme="minorHAnsi" w:hAnsiTheme="minorHAnsi" w:cstheme="minorBidi"/>
                <w:sz w:val="22"/>
                <w:szCs w:val="22"/>
                <w:lang w:val="en-AU" w:eastAsia="en-AU"/>
              </w:rPr>
              <w:tab/>
            </w:r>
            <w:r w:rsidR="00BE5F47" w:rsidRPr="00BC22AA">
              <w:rPr>
                <w:rStyle w:val="Hyperlink"/>
              </w:rPr>
              <w:t>PSP development: review of MUSIC models</w:t>
            </w:r>
          </w:hyperlink>
        </w:p>
        <w:p w14:paraId="4502B49B" w14:textId="4C6FEB8E" w:rsidR="00BE5F47" w:rsidRDefault="00E344AA">
          <w:pPr>
            <w:pStyle w:val="TOC3"/>
            <w:rPr>
              <w:rFonts w:asciiTheme="minorHAnsi" w:hAnsiTheme="minorHAnsi" w:cstheme="minorBidi"/>
              <w:sz w:val="22"/>
              <w:szCs w:val="22"/>
              <w:lang w:val="en-AU" w:eastAsia="en-AU"/>
            </w:rPr>
          </w:pPr>
          <w:hyperlink w:anchor="_Toc69461585" w:history="1">
            <w:r w:rsidR="00BE5F47" w:rsidRPr="00BC22AA">
              <w:rPr>
                <w:rStyle w:val="Hyperlink"/>
              </w:rPr>
              <w:t>A.2.1</w:t>
            </w:r>
            <w:r w:rsidR="00BE5F47">
              <w:rPr>
                <w:rFonts w:asciiTheme="minorHAnsi" w:hAnsiTheme="minorHAnsi" w:cstheme="minorBidi"/>
                <w:sz w:val="22"/>
                <w:szCs w:val="22"/>
                <w:lang w:val="en-AU" w:eastAsia="en-AU"/>
              </w:rPr>
              <w:tab/>
            </w:r>
            <w:r w:rsidR="00BE5F47" w:rsidRPr="00BC22AA">
              <w:rPr>
                <w:rStyle w:val="Hyperlink"/>
              </w:rPr>
              <w:t>Adjustment of climate period and inputs</w:t>
            </w:r>
          </w:hyperlink>
        </w:p>
        <w:p w14:paraId="13D78590" w14:textId="04317FF5" w:rsidR="00BE5F47" w:rsidRDefault="00E344AA">
          <w:pPr>
            <w:pStyle w:val="TOC2"/>
            <w:rPr>
              <w:rFonts w:asciiTheme="minorHAnsi" w:hAnsiTheme="minorHAnsi" w:cstheme="minorBidi"/>
              <w:sz w:val="22"/>
              <w:szCs w:val="22"/>
              <w:lang w:val="en-AU" w:eastAsia="en-AU"/>
            </w:rPr>
          </w:pPr>
          <w:hyperlink w:anchor="_Toc69461586" w:history="1">
            <w:r w:rsidR="00BE5F47" w:rsidRPr="00BC22AA">
              <w:rPr>
                <w:rStyle w:val="Hyperlink"/>
              </w:rPr>
              <w:t>A.3</w:t>
            </w:r>
            <w:r w:rsidR="00BE5F47">
              <w:rPr>
                <w:rFonts w:asciiTheme="minorHAnsi" w:hAnsiTheme="minorHAnsi" w:cstheme="minorBidi"/>
                <w:sz w:val="22"/>
                <w:szCs w:val="22"/>
                <w:lang w:val="en-AU" w:eastAsia="en-AU"/>
              </w:rPr>
              <w:tab/>
            </w:r>
            <w:r w:rsidR="00BE5F47" w:rsidRPr="00BC22AA">
              <w:rPr>
                <w:rStyle w:val="Hyperlink"/>
              </w:rPr>
              <w:t>Selection of representative climate years</w:t>
            </w:r>
          </w:hyperlink>
        </w:p>
        <w:p w14:paraId="4E2BA454" w14:textId="6A5CE31C" w:rsidR="00BE5F47" w:rsidRDefault="00E344AA">
          <w:pPr>
            <w:pStyle w:val="TOC1"/>
            <w:rPr>
              <w:rFonts w:asciiTheme="minorHAnsi" w:hAnsiTheme="minorHAnsi" w:cstheme="minorBidi"/>
              <w:b w:val="0"/>
              <w:sz w:val="22"/>
              <w:szCs w:val="22"/>
              <w:lang w:val="en-AU" w:eastAsia="en-AU"/>
            </w:rPr>
          </w:pPr>
          <w:hyperlink w:anchor="_Toc69461587" w:history="1">
            <w:r w:rsidR="00BE5F47" w:rsidRPr="00BC22AA">
              <w:rPr>
                <w:rStyle w:val="Hyperlink"/>
              </w:rPr>
              <w:t>Appendix B. Reach 1 - Dwarf galaxias anabranch pools</w:t>
            </w:r>
          </w:hyperlink>
        </w:p>
        <w:p w14:paraId="7B4BFB23" w14:textId="6E82B99E" w:rsidR="00BE5F47" w:rsidRDefault="00E344AA">
          <w:pPr>
            <w:pStyle w:val="TOC1"/>
            <w:rPr>
              <w:rFonts w:asciiTheme="minorHAnsi" w:hAnsiTheme="minorHAnsi" w:cstheme="minorBidi"/>
              <w:b w:val="0"/>
              <w:sz w:val="22"/>
              <w:szCs w:val="22"/>
              <w:lang w:val="en-AU" w:eastAsia="en-AU"/>
            </w:rPr>
          </w:pPr>
          <w:hyperlink w:anchor="_Toc69461588" w:history="1">
            <w:r w:rsidR="00BE5F47" w:rsidRPr="00BC22AA">
              <w:rPr>
                <w:rStyle w:val="Hyperlink"/>
                <w:lang w:val="en-AU"/>
              </w:rPr>
              <w:t>Appendix C. Cardinia Creek Conservation Zone wetland habitat restoration opportunities</w:t>
            </w:r>
          </w:hyperlink>
        </w:p>
        <w:p w14:paraId="6568FCC4" w14:textId="2CEE58A4" w:rsidR="0064413A" w:rsidRPr="0064413A" w:rsidRDefault="0064413A" w:rsidP="00204A7E">
          <w:pPr>
            <w:pStyle w:val="TOC1"/>
          </w:pPr>
          <w:r w:rsidRPr="0064413A">
            <w:rPr>
              <w:b w:val="0"/>
            </w:rPr>
            <w:fldChar w:fldCharType="end"/>
          </w:r>
        </w:p>
      </w:sdtContent>
    </w:sdt>
    <w:p w14:paraId="07B5CC2A" w14:textId="77777777" w:rsidR="0064413A" w:rsidRPr="0064413A" w:rsidRDefault="0064413A" w:rsidP="00204A7E">
      <w:pPr>
        <w:pStyle w:val="Para0"/>
      </w:pPr>
    </w:p>
    <w:p w14:paraId="64661C61" w14:textId="77777777" w:rsidR="0064413A" w:rsidRPr="0064413A" w:rsidRDefault="0064413A" w:rsidP="00204A7E">
      <w:pPr>
        <w:pStyle w:val="Para0"/>
        <w:sectPr w:rsidR="0064413A" w:rsidRPr="0064413A" w:rsidSect="00204A7E">
          <w:headerReference w:type="even" r:id="rId19"/>
          <w:headerReference w:type="default" r:id="rId20"/>
          <w:footerReference w:type="default" r:id="rId21"/>
          <w:headerReference w:type="first" r:id="rId22"/>
          <w:footerReference w:type="first" r:id="rId23"/>
          <w:pgSz w:w="11901" w:h="16840" w:code="9"/>
          <w:pgMar w:top="567" w:right="851" w:bottom="851" w:left="1134" w:header="567" w:footer="370" w:gutter="0"/>
          <w:pgNumType w:fmt="lowerRoman" w:start="1"/>
          <w:cols w:space="0"/>
          <w:formProt w:val="0"/>
          <w:docGrid w:linePitch="360"/>
        </w:sectPr>
      </w:pPr>
    </w:p>
    <w:p w14:paraId="3C5BAD20" w14:textId="77777777" w:rsidR="0064413A" w:rsidRDefault="0064413A" w:rsidP="00204A7E">
      <w:pPr>
        <w:pStyle w:val="Summary"/>
      </w:pPr>
      <w:bookmarkStart w:id="1" w:name="_Toc369528046"/>
      <w:bookmarkStart w:id="2" w:name="_Toc69480685"/>
      <w:r w:rsidRPr="0064413A">
        <w:lastRenderedPageBreak/>
        <w:t>Executive Summary</w:t>
      </w:r>
      <w:bookmarkEnd w:id="1"/>
      <w:bookmarkEnd w:id="2"/>
    </w:p>
    <w:p w14:paraId="0F564818" w14:textId="1625A9F6" w:rsidR="00FE4DFE" w:rsidRDefault="00090E03" w:rsidP="00FE4DFE">
      <w:pPr>
        <w:pStyle w:val="Para0"/>
      </w:pPr>
      <w:r>
        <w:t>This study</w:t>
      </w:r>
      <w:r w:rsidR="00EF7AC6">
        <w:t xml:space="preserve"> investigated the potential impacts to t</w:t>
      </w:r>
      <w:r w:rsidR="00AC08C3">
        <w:t>wo</w:t>
      </w:r>
      <w:r w:rsidR="00EF7AC6">
        <w:t xml:space="preserve"> </w:t>
      </w:r>
      <w:r w:rsidR="00AC08C3">
        <w:t>protected</w:t>
      </w:r>
      <w:r w:rsidR="00EF7AC6">
        <w:t xml:space="preserve"> fish species </w:t>
      </w:r>
      <w:r w:rsidR="00AC08C3">
        <w:t>(</w:t>
      </w:r>
      <w:r w:rsidR="00EF7AC6" w:rsidRPr="00CE6130">
        <w:t xml:space="preserve">Australian </w:t>
      </w:r>
      <w:r w:rsidR="0045757F">
        <w:t>grayling</w:t>
      </w:r>
      <w:r w:rsidR="00EF7AC6" w:rsidRPr="00CE6130">
        <w:t xml:space="preserve"> and </w:t>
      </w:r>
      <w:r w:rsidR="00FE4DFE">
        <w:t>d</w:t>
      </w:r>
      <w:r w:rsidR="00EF7AC6" w:rsidRPr="00CE6130">
        <w:t xml:space="preserve">warf </w:t>
      </w:r>
      <w:r w:rsidR="00FE4DFE">
        <w:t>g</w:t>
      </w:r>
      <w:r w:rsidR="00EF7AC6" w:rsidRPr="00CE6130">
        <w:t>alaxias</w:t>
      </w:r>
      <w:r w:rsidR="00AC08C3">
        <w:t>)</w:t>
      </w:r>
      <w:r w:rsidR="00EF7AC6">
        <w:t xml:space="preserve"> as a result of the </w:t>
      </w:r>
      <w:r w:rsidR="00D77988">
        <w:t xml:space="preserve">proposed </w:t>
      </w:r>
      <w:r w:rsidR="00EF7AC6" w:rsidRPr="00CE6130">
        <w:t xml:space="preserve">development of the Cardinia Creek South, Minta Farm and Officer South </w:t>
      </w:r>
      <w:r w:rsidR="0023198F">
        <w:t xml:space="preserve">Employment </w:t>
      </w:r>
      <w:r w:rsidR="00AC08C3">
        <w:t>P</w:t>
      </w:r>
      <w:r w:rsidR="00EF7AC6" w:rsidRPr="00CE6130">
        <w:t>recinct Structure Plan</w:t>
      </w:r>
      <w:r w:rsidR="00D77988">
        <w:t xml:space="preserve"> (PSP)</w:t>
      </w:r>
      <w:r w:rsidR="00EF7AC6" w:rsidRPr="00CE6130">
        <w:t xml:space="preserve"> </w:t>
      </w:r>
      <w:r w:rsidR="00EF7AC6">
        <w:t xml:space="preserve">areas in Melbourne’s outer south-east. </w:t>
      </w:r>
      <w:r w:rsidR="00D77988">
        <w:t>This</w:t>
      </w:r>
      <w:r>
        <w:t xml:space="preserve"> involved </w:t>
      </w:r>
      <w:r w:rsidR="00D77988">
        <w:t xml:space="preserve">hydrological and hydraulic modelling to </w:t>
      </w:r>
      <w:r>
        <w:t xml:space="preserve">predict changes to </w:t>
      </w:r>
      <w:r w:rsidR="00EF7AC6">
        <w:t>the flow regime of Cardinia Creek</w:t>
      </w:r>
      <w:r w:rsidR="00D77988">
        <w:t xml:space="preserve"> as a result of altered stormwater inflows from the developed PSP areas.</w:t>
      </w:r>
      <w:r w:rsidR="00EF7AC6">
        <w:t xml:space="preserve"> </w:t>
      </w:r>
      <w:r w:rsidR="00D77988">
        <w:t xml:space="preserve">The potential </w:t>
      </w:r>
      <w:r w:rsidR="001E06A0">
        <w:t>for</w:t>
      </w:r>
      <w:r w:rsidR="00D77988">
        <w:t xml:space="preserve"> the predicted flow changes to have an </w:t>
      </w:r>
      <w:r w:rsidRPr="00CE6130">
        <w:t xml:space="preserve">adverse impact on Australian </w:t>
      </w:r>
      <w:r w:rsidR="0045757F">
        <w:t>grayling</w:t>
      </w:r>
      <w:r w:rsidRPr="00CE6130">
        <w:t xml:space="preserve"> and </w:t>
      </w:r>
      <w:r w:rsidR="00FE4DFE">
        <w:t>d</w:t>
      </w:r>
      <w:r w:rsidRPr="00CE6130">
        <w:t xml:space="preserve">warf </w:t>
      </w:r>
      <w:r w:rsidR="00FE4DFE">
        <w:t>g</w:t>
      </w:r>
      <w:r w:rsidRPr="00CE6130">
        <w:t>alaxias within the Cardinia Creek Conservation Area</w:t>
      </w:r>
      <w:r w:rsidR="00D77988">
        <w:t xml:space="preserve"> were then assessed.</w:t>
      </w:r>
      <w:r w:rsidR="00FE4DFE">
        <w:t xml:space="preserve">  </w:t>
      </w:r>
    </w:p>
    <w:p w14:paraId="4A2C7960" w14:textId="5126858C" w:rsidR="00BD617E" w:rsidRDefault="00BD617E" w:rsidP="00BD617E">
      <w:pPr>
        <w:pStyle w:val="SectionSubheading1"/>
      </w:pPr>
      <w:r>
        <w:t>Risk summary</w:t>
      </w:r>
    </w:p>
    <w:p w14:paraId="240D7014" w14:textId="2B3277D9" w:rsidR="00090E03" w:rsidRDefault="00FE4DFE" w:rsidP="00090E03">
      <w:pPr>
        <w:pStyle w:val="Para0"/>
      </w:pPr>
      <w:r>
        <w:t>The risk assessment considered the spatial extent of risks related to the location of outfalls from each of the PSPs.  Figure E1 highlights the areas of risk along the creek associated with each outfall.</w:t>
      </w:r>
    </w:p>
    <w:p w14:paraId="7CCA29F9" w14:textId="6D0C1882" w:rsidR="00FE4DFE" w:rsidRDefault="00FE4DFE" w:rsidP="00090E03">
      <w:pPr>
        <w:pStyle w:val="Para0"/>
      </w:pPr>
      <w:r>
        <w:rPr>
          <w:noProof/>
        </w:rPr>
        <w:drawing>
          <wp:inline distT="0" distB="0" distL="0" distR="0" wp14:anchorId="04153408" wp14:editId="79E29411">
            <wp:extent cx="5768773" cy="5346357"/>
            <wp:effectExtent l="0" t="0" r="3810" b="6985"/>
            <wp:docPr id="6160" name="Picture 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1530" cy="5385983"/>
                    </a:xfrm>
                    <a:prstGeom prst="rect">
                      <a:avLst/>
                    </a:prstGeom>
                  </pic:spPr>
                </pic:pic>
              </a:graphicData>
            </a:graphic>
          </wp:inline>
        </w:drawing>
      </w:r>
    </w:p>
    <w:p w14:paraId="79FFE09C" w14:textId="1A4135F6" w:rsidR="00FE4DFE" w:rsidRDefault="00FE4DFE" w:rsidP="00FE4DFE">
      <w:pPr>
        <w:pStyle w:val="Caption"/>
      </w:pPr>
      <w:r>
        <w:t xml:space="preserve">Figure E1. Reach risk rating (green-low, yellow-moderate, red-high).  Blue stars indicate habitat for (and recorded locations of) dwarf galaxias and Australian grayling </w:t>
      </w:r>
    </w:p>
    <w:p w14:paraId="34AD822B" w14:textId="77777777" w:rsidR="00FE4DFE" w:rsidRDefault="00FE4DFE" w:rsidP="00FE4DFE">
      <w:pPr>
        <w:pStyle w:val="SectionSubheading2"/>
      </w:pPr>
      <w:r>
        <w:t>Impacts associated with Minta Farm PSP</w:t>
      </w:r>
    </w:p>
    <w:p w14:paraId="7F6772CD" w14:textId="6CE13E10" w:rsidR="00FE4DFE" w:rsidRDefault="00FE4DFE" w:rsidP="00FE4DFE">
      <w:pPr>
        <w:pStyle w:val="Para0"/>
      </w:pPr>
      <w:r>
        <w:t xml:space="preserve">There are overall increases in the volume of water entering Cardinia Creek via both the Minta Farm north and Minta Farm south outfalls, however, the increase in volume is not significant enough to result in a substantial </w:t>
      </w:r>
      <w:r>
        <w:lastRenderedPageBreak/>
        <w:t>change in low flows in Cardinia Creek and there is no significant increase in the frequency or duration of high flow events that inundate dwarf galaxias habitat in this reach.  This is because the area associated with the Minta Farm developments is small compared to the upstream Cardinia Creek catchment area, so the contributing flows from the PSP areas are consequently relatively small in the context of upstream catchment flows.  However, there are a range of other risks to dwarf galaxias habitat in the Minta Farm area that need to be addressed as part of development.  These include construction works associated with the Minta Farm north outfall and the decommissioning of Pond 2, construction works associated with the remediation of the Pond 3 embankment, and the overflow regime associated with the remodelled ephemeral habitat associated with Pond 3.</w:t>
      </w:r>
    </w:p>
    <w:p w14:paraId="3EAC11BE" w14:textId="77777777" w:rsidR="00FE4DFE" w:rsidRDefault="00FE4DFE" w:rsidP="00FE4DFE">
      <w:pPr>
        <w:pStyle w:val="Para0"/>
      </w:pPr>
      <w:r>
        <w:t>Low risks are also present in Reach 2 downstream of the Cardinia Drop structure through the section of that reach where Australian grayling have been recorded.  This suggests that any changes in flow are unlikely to represent risks to Australian grayling survival or alter movement and spawning cues (e.g. movement through existing fishways) at the local scale.  Moreover, the change in flows are unlikely to represent a risk to channel stability with there being no significant increase in the frequency or duration of flows above the magnitudes that would contribute to increased erosion risks.</w:t>
      </w:r>
    </w:p>
    <w:p w14:paraId="6A3175D2" w14:textId="1E4997B8" w:rsidR="00FE4DFE" w:rsidRDefault="00FE4DFE" w:rsidP="00FE4DFE">
      <w:pPr>
        <w:pStyle w:val="SectionSubheading2"/>
      </w:pPr>
      <w:r>
        <w:t xml:space="preserve">Impacts associated with Officer South </w:t>
      </w:r>
      <w:r w:rsidR="005C2E37">
        <w:t xml:space="preserve">Employment </w:t>
      </w:r>
      <w:r>
        <w:t>and Cardinia South PSPs</w:t>
      </w:r>
    </w:p>
    <w:p w14:paraId="0681E44A" w14:textId="52E8F569" w:rsidR="00FE4DFE" w:rsidRDefault="00FE4DFE" w:rsidP="00FE4DFE">
      <w:pPr>
        <w:pStyle w:val="Para0"/>
      </w:pPr>
      <w:r>
        <w:t>There is a potential risk to stream condition downstream of the Officer South</w:t>
      </w:r>
      <w:r w:rsidR="005C2E37">
        <w:t xml:space="preserve"> Employment</w:t>
      </w:r>
      <w:r>
        <w:t xml:space="preserve"> and Cardinia South outfalls (although most of the impact is associated with the </w:t>
      </w:r>
      <w:r w:rsidR="0023198F">
        <w:t>Officer South Employment PSP</w:t>
      </w:r>
      <w:r>
        <w:t xml:space="preserve"> being a larger catchment area than the Cardinia South PSP).  In particular, there is an increase in the number of flow events that occur at a sub-daily (i.e. hourly) duration that exceed critical bed mobilisation flows which could contribute to increased channel erosion and scour of vegetation.  This has the potential to impacts on the quality of habitat through the reach and may also interrupt movement cues for Australian grayling that need to move through this reach for downstream spawning and upstream juvenile migration in autumn and spring respectively.  Further downstream, to Westernport Bay, risks are mitigated to some extent because of the larger channel capacity associated with the Cardinia Outfall through the Koo Wee Rup Flood Protection Area.</w:t>
      </w:r>
    </w:p>
    <w:p w14:paraId="5F808021" w14:textId="77777777" w:rsidR="00FE4DFE" w:rsidRDefault="00FE4DFE" w:rsidP="00FE4DFE">
      <w:pPr>
        <w:pStyle w:val="SectionSubheading1"/>
      </w:pPr>
      <w:r>
        <w:t>Mitigation recommendations</w:t>
      </w:r>
    </w:p>
    <w:p w14:paraId="5FC059D6" w14:textId="77777777" w:rsidR="00FE4DFE" w:rsidRDefault="00FE4DFE" w:rsidP="00FE4DFE">
      <w:pPr>
        <w:pStyle w:val="SectionSubheading2"/>
      </w:pPr>
      <w:r>
        <w:t xml:space="preserve">Minta Farm PSP </w:t>
      </w:r>
    </w:p>
    <w:p w14:paraId="71435D80" w14:textId="77777777" w:rsidR="00FE4DFE" w:rsidRDefault="00FE4DFE" w:rsidP="00FE4DFE">
      <w:pPr>
        <w:pStyle w:val="Para0"/>
      </w:pPr>
      <w:r>
        <w:t>Key risks associated with the Minta Farm PSP relate to construction impacts associated with outfall construction, Pond 2 decommissioning and Pond 3 embankment rectification.  Recommendations are:</w:t>
      </w:r>
    </w:p>
    <w:p w14:paraId="4066F3E2" w14:textId="77777777" w:rsidR="00FE4DFE" w:rsidRDefault="00FE4DFE" w:rsidP="00FE4DFE">
      <w:pPr>
        <w:pStyle w:val="Para0bullet"/>
      </w:pPr>
      <w:r>
        <w:t>That ecological principles are incorporated into all design and construction activities in the vicinity of the Cardinia Creek anabranch, including all temporary and permanent works associated with outfall and embankment construction.</w:t>
      </w:r>
    </w:p>
    <w:p w14:paraId="48A6ECA8" w14:textId="77777777" w:rsidR="00FE4DFE" w:rsidRDefault="00FE4DFE" w:rsidP="00FE4DFE">
      <w:pPr>
        <w:pStyle w:val="Para0bullet"/>
      </w:pPr>
      <w:r>
        <w:t>That the design for the Pond 2 decommissioning consider opportunities for incorporating dwarf galaxias and growling grass frog habitat elements into the restored floodplain habitat</w:t>
      </w:r>
    </w:p>
    <w:p w14:paraId="46D1D4C7" w14:textId="77777777" w:rsidR="00FE4DFE" w:rsidRDefault="00FE4DFE" w:rsidP="00FE4DFE">
      <w:pPr>
        <w:pStyle w:val="Para0bullet"/>
      </w:pPr>
      <w:r>
        <w:t>That the overflow from the Pond 3 ephemeral zone incorporates the ability to manipulate flow releases into the dwarf galaxias anabranch as part of an adaptive management plan for the protection of dwarf galaxias habitat.</w:t>
      </w:r>
    </w:p>
    <w:p w14:paraId="7ADCB7C5" w14:textId="353AD844" w:rsidR="00FE4DFE" w:rsidRDefault="00FE4DFE" w:rsidP="00FE4DFE">
      <w:pPr>
        <w:pStyle w:val="Para0bullet"/>
      </w:pPr>
      <w:r>
        <w:t xml:space="preserve">That opportunities for incorporation of new dwarf galaxias and growling grass frog habitat  is considered and incorporated into the establishment of the Cardinia Creek Conservation Zone (see </w:t>
      </w:r>
      <w:r>
        <w:fldChar w:fldCharType="begin"/>
      </w:r>
      <w:r>
        <w:instrText xml:space="preserve"> REF _Ref42877150 \w \h  \* MERGEFORMAT </w:instrText>
      </w:r>
      <w:r>
        <w:fldChar w:fldCharType="separate"/>
      </w:r>
      <w:r w:rsidR="00BE5F47">
        <w:t>Appendix C</w:t>
      </w:r>
      <w:r>
        <w:fldChar w:fldCharType="end"/>
      </w:r>
      <w:r>
        <w:t xml:space="preserve"> for preliminary mapping of potential wetland locations within the proposed conservation zone).</w:t>
      </w:r>
    </w:p>
    <w:p w14:paraId="00830CD6" w14:textId="71A9E9E6" w:rsidR="00FE4DFE" w:rsidRDefault="00FE4DFE" w:rsidP="00FE4DFE">
      <w:pPr>
        <w:pStyle w:val="SectionSubheading2"/>
      </w:pPr>
      <w:r>
        <w:t>Officer South</w:t>
      </w:r>
      <w:r w:rsidR="005C2E37">
        <w:t xml:space="preserve"> Employment</w:t>
      </w:r>
      <w:r>
        <w:t xml:space="preserve"> and Cardinia South PSPs</w:t>
      </w:r>
    </w:p>
    <w:p w14:paraId="3E90226B" w14:textId="429F18A2" w:rsidR="00FE4DFE" w:rsidRDefault="00FE4DFE" w:rsidP="00FE4DFE">
      <w:pPr>
        <w:pStyle w:val="Para0"/>
      </w:pPr>
      <w:r>
        <w:t xml:space="preserve">The critical risks associated with </w:t>
      </w:r>
      <w:r w:rsidR="0023198F">
        <w:t>Officer South Employment PSP</w:t>
      </w:r>
      <w:r>
        <w:t xml:space="preserve"> (and to a lesser degree Cardinia South PSP) relates to high peak hourly flows from the proposed outfall.  The Officer South </w:t>
      </w:r>
      <w:r w:rsidR="005C2E37">
        <w:t xml:space="preserve">Employment </w:t>
      </w:r>
      <w:r>
        <w:t xml:space="preserve">drainage scheme design, in particular, is nearly ten years old and requires revision to more clearly identify opportunities to reduce peak flow rates. </w:t>
      </w:r>
    </w:p>
    <w:p w14:paraId="60967126" w14:textId="01F7CD04" w:rsidR="00FE4DFE" w:rsidRDefault="00FE4DFE" w:rsidP="00FE4DFE">
      <w:pPr>
        <w:pStyle w:val="Para0"/>
      </w:pPr>
      <w:r>
        <w:lastRenderedPageBreak/>
        <w:t xml:space="preserve">It is recommended that the Officer South </w:t>
      </w:r>
      <w:r w:rsidR="005C2E37">
        <w:t xml:space="preserve">Employment </w:t>
      </w:r>
      <w:r>
        <w:t>and Cardinia South PSP drainage designs be reviewed with the intent of identifying opportunities to reduce peak flow rates, maintain the current frequency and duration of flows in Cardinia Creek that exceed bed mobilisations flows (370 ML/d at Chasemore Road) and limit where possible the increase in magnitude of the 1:1-1:5 year ARI events.  The reviews need to consider the cumulative impacts of the two PSPs on creek flows</w:t>
      </w:r>
      <w:r w:rsidR="005C2E37">
        <w:t>.  With regards to the review of the Officer South Employment PSP drainage scheme, the review needs to consider the relative contribution that the Officer Precinct (already developed to the north of the Officer South Employment Precinct) makes relative to development that will occur within the Officer South Employment Precinct, noting that the Officer Precinct is subject to a different set of regulatory requirements under the Melbourne Strategi Assessment program.</w:t>
      </w:r>
    </w:p>
    <w:p w14:paraId="067FB499" w14:textId="77777777" w:rsidR="00FE4DFE" w:rsidRDefault="00FE4DFE" w:rsidP="00BD617E">
      <w:pPr>
        <w:pStyle w:val="SectionSubheading1"/>
      </w:pPr>
      <w:r>
        <w:t>Next steps</w:t>
      </w:r>
    </w:p>
    <w:p w14:paraId="6C3FF35F" w14:textId="2E9E3ECD" w:rsidR="00FE4DFE" w:rsidRPr="00F538ED" w:rsidRDefault="00851780" w:rsidP="00FE4DFE">
      <w:pPr>
        <w:pStyle w:val="Para0"/>
      </w:pPr>
      <w:r>
        <w:t xml:space="preserve">The results of this work will be used </w:t>
      </w:r>
      <w:r w:rsidR="00F11047">
        <w:t xml:space="preserve">by Melbourne Water </w:t>
      </w:r>
      <w:r>
        <w:t xml:space="preserve">to assist in the </w:t>
      </w:r>
      <w:r w:rsidR="00FE4DFE">
        <w:t xml:space="preserve">review </w:t>
      </w:r>
      <w:r w:rsidR="00F11047">
        <w:t xml:space="preserve">and update of </w:t>
      </w:r>
      <w:r>
        <w:t>drainage designs in</w:t>
      </w:r>
      <w:r w:rsidR="00FE4DFE">
        <w:t xml:space="preserve"> the </w:t>
      </w:r>
      <w:r w:rsidR="0023198F">
        <w:t xml:space="preserve">Officer South Employment PSP </w:t>
      </w:r>
      <w:r w:rsidR="00FE4DFE">
        <w:t>and Cardinia South PSP</w:t>
      </w:r>
      <w:r w:rsidR="005C2E37">
        <w:t xml:space="preserve"> </w:t>
      </w:r>
      <w:r w:rsidR="00FE4DFE">
        <w:t>to identify potential solutions to mitigating peak flows.  These solutions will be modelled through MUSIC modelling and compared with the current outfall regimes to test if risks can be reduced.</w:t>
      </w:r>
    </w:p>
    <w:p w14:paraId="69D03D90" w14:textId="77777777" w:rsidR="00FE4DFE" w:rsidRDefault="00FE4DFE" w:rsidP="00090E03">
      <w:pPr>
        <w:pStyle w:val="Para0"/>
      </w:pPr>
    </w:p>
    <w:p w14:paraId="6C1684FE" w14:textId="77777777" w:rsidR="0064413A" w:rsidRPr="0064413A" w:rsidRDefault="0064413A" w:rsidP="00204A7E">
      <w:pPr>
        <w:pStyle w:val="Para0"/>
      </w:pPr>
    </w:p>
    <w:p w14:paraId="36F8E801" w14:textId="77777777" w:rsidR="0064413A" w:rsidRPr="0064413A" w:rsidRDefault="0064413A" w:rsidP="00204A7E">
      <w:pPr>
        <w:pStyle w:val="Para0"/>
      </w:pPr>
    </w:p>
    <w:p w14:paraId="05E93F37" w14:textId="77777777" w:rsidR="0064413A" w:rsidRPr="0064413A" w:rsidRDefault="0064413A" w:rsidP="00204A7E">
      <w:pPr>
        <w:pStyle w:val="SectionSubheading1"/>
        <w:pageBreakBefore/>
        <w:sectPr w:rsidR="0064413A" w:rsidRPr="0064413A" w:rsidSect="00204A7E">
          <w:headerReference w:type="default" r:id="rId25"/>
          <w:footerReference w:type="default" r:id="rId26"/>
          <w:footerReference w:type="first" r:id="rId27"/>
          <w:pgSz w:w="11901" w:h="16840" w:code="9"/>
          <w:pgMar w:top="567" w:right="851" w:bottom="851" w:left="1134" w:header="567" w:footer="370" w:gutter="0"/>
          <w:pgNumType w:fmt="lowerRoman"/>
          <w:cols w:space="0"/>
          <w:formProt w:val="0"/>
          <w:docGrid w:linePitch="360"/>
        </w:sectPr>
      </w:pPr>
    </w:p>
    <w:p w14:paraId="602AD414" w14:textId="77777777" w:rsidR="0064413A" w:rsidRPr="0064413A" w:rsidRDefault="0064413A" w:rsidP="00204A7E">
      <w:pPr>
        <w:pStyle w:val="SectionSubheading1"/>
        <w:pageBreakBefore/>
        <w:spacing w:before="0"/>
      </w:pPr>
      <w:r w:rsidRPr="0064413A">
        <w:lastRenderedPageBreak/>
        <w:t>Important note about your report</w:t>
      </w:r>
    </w:p>
    <w:p w14:paraId="732E0665" w14:textId="6F4904B8" w:rsidR="00BD617E" w:rsidRDefault="00BD617E" w:rsidP="00BD617E">
      <w:pPr>
        <w:pStyle w:val="Para0"/>
      </w:pPr>
      <w:bookmarkStart w:id="3" w:name="_Toc369528047"/>
      <w:bookmarkStart w:id="4" w:name="_Ref39225435"/>
      <w:bookmarkStart w:id="5" w:name="_Ref41468429"/>
      <w:r>
        <w:t xml:space="preserve">The purpose of this report and the associated services performed by </w:t>
      </w:r>
      <w:r w:rsidR="00E344AA">
        <w:fldChar w:fldCharType="begin"/>
      </w:r>
      <w:r w:rsidR="00E344AA">
        <w:instrText xml:space="preserve"> DOCVARIABLE  CoverLimitation  </w:instrText>
      </w:r>
      <w:r w:rsidR="00E344AA">
        <w:instrText xml:space="preserve">\* MERGEFORMAT </w:instrText>
      </w:r>
      <w:r w:rsidR="00E344AA">
        <w:fldChar w:fldCharType="separate"/>
      </w:r>
      <w:r w:rsidR="00BE5F47">
        <w:t>Jacobs</w:t>
      </w:r>
      <w:r w:rsidR="00E344AA">
        <w:fldChar w:fldCharType="end"/>
      </w:r>
      <w:r>
        <w:t xml:space="preserve"> is to review information related to the flow in Cardinia Creek and to advise on potential risks to native fish from changes in flows predicted to occur under future urban development in 3 PSP areas in accordance with the scope of services set out in the contract between </w:t>
      </w:r>
      <w:r w:rsidR="00E344AA">
        <w:fldChar w:fldCharType="begin"/>
      </w:r>
      <w:r w:rsidR="00E344AA">
        <w:instrText xml:space="preserve"> DOCVARIABLE  CoverLimitation  \* MERGEFORMAT </w:instrText>
      </w:r>
      <w:r w:rsidR="00E344AA">
        <w:fldChar w:fldCharType="separate"/>
      </w:r>
      <w:r w:rsidR="00BE5F47">
        <w:t>Jacobs</w:t>
      </w:r>
      <w:r w:rsidR="00E344AA">
        <w:fldChar w:fldCharType="end"/>
      </w:r>
      <w:r>
        <w:t xml:space="preserve"> Group (Australia) and Melbourne Water. </w:t>
      </w:r>
    </w:p>
    <w:p w14:paraId="47B84654" w14:textId="65AC8D57" w:rsidR="00BD617E" w:rsidRDefault="00BD617E" w:rsidP="00BD617E">
      <w:pPr>
        <w:pStyle w:val="Para0"/>
      </w:pPr>
      <w:r>
        <w:t xml:space="preserve">In preparing this report, </w:t>
      </w:r>
      <w:r w:rsidR="00E344AA">
        <w:fldChar w:fldCharType="begin"/>
      </w:r>
      <w:r w:rsidR="00E344AA">
        <w:instrText xml:space="preserve"> DOCVARIABLE  CoverLimitation  \* MERGEFORMAT </w:instrText>
      </w:r>
      <w:r w:rsidR="00E344AA">
        <w:fldChar w:fldCharType="separate"/>
      </w:r>
      <w:r w:rsidR="00BE5F47">
        <w:t>Jacobs</w:t>
      </w:r>
      <w:r w:rsidR="00E344AA">
        <w:fldChar w:fldCharType="end"/>
      </w:r>
      <w:r>
        <w:t xml:space="preserve"> has relied upon, and presumed accurate, information and models (or confirmation of the absence thereof) provided by Melbourne Water and/or other sources. Except as otherwise stated in the report, </w:t>
      </w:r>
      <w:r w:rsidR="00E344AA">
        <w:fldChar w:fldCharType="begin"/>
      </w:r>
      <w:r w:rsidR="00E344AA">
        <w:instrText xml:space="preserve"> DOCVARIABLE  CoverLimitation  \* MERGEFORMAT </w:instrText>
      </w:r>
      <w:r w:rsidR="00E344AA">
        <w:fldChar w:fldCharType="separate"/>
      </w:r>
      <w:r w:rsidR="00BE5F47">
        <w:t>Jacobs</w:t>
      </w:r>
      <w:r w:rsidR="00E344AA">
        <w:fldChar w:fldCharType="end"/>
      </w:r>
      <w:r>
        <w:t xml:space="preserve"> has not attempted to verify the accuracy or completeness of any such information. If the information is subsequently determined to be false, inaccurate or incomplete, the observations and conclusions in this report may change.</w:t>
      </w:r>
    </w:p>
    <w:p w14:paraId="036EE541" w14:textId="386EC035" w:rsidR="00BD617E" w:rsidRDefault="00BD617E" w:rsidP="00BD617E">
      <w:pPr>
        <w:pStyle w:val="Para0"/>
      </w:pPr>
      <w:r>
        <w:t xml:space="preserve">The passage of time, manifestation of latent conditions or impacts of future events may require further examination of the project and subsequent data analysis, and re-evaluation of the data, findings, observations and conclusions expressed in this report. </w:t>
      </w:r>
      <w:r w:rsidR="00E344AA">
        <w:fldChar w:fldCharType="begin"/>
      </w:r>
      <w:r w:rsidR="00E344AA">
        <w:instrText xml:space="preserve"> DOCVARIABLE  CoverLimita</w:instrText>
      </w:r>
      <w:r w:rsidR="00E344AA">
        <w:instrText xml:space="preserve">tion  \* MERGEFORMAT </w:instrText>
      </w:r>
      <w:r w:rsidR="00E344AA">
        <w:fldChar w:fldCharType="separate"/>
      </w:r>
      <w:r w:rsidR="00BE5F47">
        <w:t>Jacobs</w:t>
      </w:r>
      <w:r w:rsidR="00E344AA">
        <w:fldChar w:fldCharType="end"/>
      </w:r>
      <w:r>
        <w:t xml:space="preserve"> has prepared this report in accordance with the usual care and thoroughness of the consulting profession following applicable standards, guidelines, procedures and practices at the date of issue of this report. No other warranty or guarantee, whether expressed or implied, is made as to the data, observations and findings expressed in this report, to the extent permitted by law.</w:t>
      </w:r>
    </w:p>
    <w:p w14:paraId="505D8ED5" w14:textId="5675976E" w:rsidR="00BD617E" w:rsidRDefault="00BD617E" w:rsidP="00BD617E">
      <w:pPr>
        <w:pStyle w:val="Para0"/>
      </w:pPr>
      <w:r>
        <w:t xml:space="preserve">This report should be used in full, and no excerpts are to be taken as representative of the findings. No responsibility is accepted by </w:t>
      </w:r>
      <w:r w:rsidR="00E344AA">
        <w:fldChar w:fldCharType="begin"/>
      </w:r>
      <w:r w:rsidR="00E344AA">
        <w:instrText xml:space="preserve"> DOCVARIABLE  CoverLimitation  \* MERGEFORMAT </w:instrText>
      </w:r>
      <w:r w:rsidR="00E344AA">
        <w:fldChar w:fldCharType="separate"/>
      </w:r>
      <w:r w:rsidR="00BE5F47">
        <w:t>Jacobs</w:t>
      </w:r>
      <w:r w:rsidR="00E344AA">
        <w:fldChar w:fldCharType="end"/>
      </w:r>
      <w:r>
        <w:t xml:space="preserve"> for use of any part of this report in any other context. </w:t>
      </w:r>
    </w:p>
    <w:p w14:paraId="303D5F44" w14:textId="67AD4F87" w:rsidR="00BD617E" w:rsidRPr="00C01806" w:rsidRDefault="00BD617E" w:rsidP="00BD617E">
      <w:pPr>
        <w:pStyle w:val="Para0"/>
      </w:pPr>
      <w:r>
        <w:t xml:space="preserve">This report has been prepared on behalf of, and for the exclusive use of, Melbourne Water, and is subject to, and issued in accordance with, the provisions of the contract between </w:t>
      </w:r>
      <w:r w:rsidR="00E344AA">
        <w:fldChar w:fldCharType="begin"/>
      </w:r>
      <w:r w:rsidR="00E344AA">
        <w:instrText xml:space="preserve"> DOCVARIABLE  CoverLimitation  \* MERGEFORMAT </w:instrText>
      </w:r>
      <w:r w:rsidR="00E344AA">
        <w:fldChar w:fldCharType="separate"/>
      </w:r>
      <w:r w:rsidR="00BE5F47">
        <w:t>Jacobs</w:t>
      </w:r>
      <w:r w:rsidR="00E344AA">
        <w:fldChar w:fldCharType="end"/>
      </w:r>
      <w:r>
        <w:t xml:space="preserve"> and Melbourne Water. </w:t>
      </w:r>
      <w:r w:rsidR="00E344AA">
        <w:fldChar w:fldCharType="begin"/>
      </w:r>
      <w:r w:rsidR="00E344AA">
        <w:instrText xml:space="preserve"> DOCVARIABLE  CoverLimitation  \* MERGEFORMAT </w:instrText>
      </w:r>
      <w:r w:rsidR="00E344AA">
        <w:fldChar w:fldCharType="separate"/>
      </w:r>
      <w:r w:rsidR="00BE5F47">
        <w:t>Jacobs</w:t>
      </w:r>
      <w:r w:rsidR="00E344AA">
        <w:fldChar w:fldCharType="end"/>
      </w:r>
      <w:r>
        <w:t xml:space="preserve"> accepts no liability or responsibility whatsoever for, or in respect of, any use of, or reliance upon, this report by a third party.</w:t>
      </w:r>
    </w:p>
    <w:p w14:paraId="40009A62" w14:textId="77777777" w:rsidR="0064413A" w:rsidRPr="0064413A" w:rsidRDefault="0064413A" w:rsidP="0064413A">
      <w:pPr>
        <w:pStyle w:val="Heading1"/>
      </w:pPr>
      <w:bookmarkStart w:id="6" w:name="_Toc69480686"/>
      <w:r w:rsidRPr="0064413A">
        <w:lastRenderedPageBreak/>
        <w:t>Introduction</w:t>
      </w:r>
      <w:bookmarkEnd w:id="3"/>
      <w:bookmarkEnd w:id="4"/>
      <w:bookmarkEnd w:id="5"/>
      <w:bookmarkEnd w:id="6"/>
    </w:p>
    <w:p w14:paraId="722F7542" w14:textId="77777777" w:rsidR="0064413A" w:rsidRDefault="00090E03" w:rsidP="00090E03">
      <w:pPr>
        <w:pStyle w:val="Heading2"/>
      </w:pPr>
      <w:bookmarkStart w:id="7" w:name="_Toc69480687"/>
      <w:r>
        <w:t>Background</w:t>
      </w:r>
      <w:bookmarkEnd w:id="7"/>
    </w:p>
    <w:p w14:paraId="21B24A6F" w14:textId="635B92F7" w:rsidR="00E87F0C" w:rsidRDefault="00090E03" w:rsidP="00090E03">
      <w:pPr>
        <w:pStyle w:val="Para0"/>
      </w:pPr>
      <w:r>
        <w:t xml:space="preserve">Melbourne’s outer south east is a rapidly growing area, with specific growth precincts set out for urbanisation and development.  The </w:t>
      </w:r>
      <w:r w:rsidR="0038646A">
        <w:t xml:space="preserve">development of this area from its current, predominantly rural land use to an urban land use </w:t>
      </w:r>
      <w:r>
        <w:t>has the potential to impact the hydrolog</w:t>
      </w:r>
      <w:r w:rsidR="00DD2142">
        <w:t>y</w:t>
      </w:r>
      <w:r>
        <w:t xml:space="preserve"> and ecological values of local waterways, including Cardinia Creek.</w:t>
      </w:r>
    </w:p>
    <w:p w14:paraId="4FDE35B4" w14:textId="3A159199" w:rsidR="00090E03" w:rsidRDefault="00090E03" w:rsidP="00090E03">
      <w:pPr>
        <w:pStyle w:val="Para0"/>
      </w:pPr>
      <w:r>
        <w:t xml:space="preserve">Cardinia Creek is noted for its high ecological values. These are recognised by the inclusion of the Cardinia Creek corridor </w:t>
      </w:r>
      <w:r w:rsidR="00934E90">
        <w:t xml:space="preserve">Biodiversity </w:t>
      </w:r>
      <w:r>
        <w:t>Conservation Area</w:t>
      </w:r>
      <w:r w:rsidR="00934E90">
        <w:t xml:space="preserve"> 36</w:t>
      </w:r>
      <w:r>
        <w:t>, as outlined in the</w:t>
      </w:r>
      <w:r w:rsidR="0038646A">
        <w:t xml:space="preserve"> Victorian Government’s</w:t>
      </w:r>
      <w:r>
        <w:t xml:space="preserve"> Biodiversity Conservation Strategy (BCS)</w:t>
      </w:r>
      <w:r w:rsidR="00A128E2">
        <w:t xml:space="preserve"> (DEPI 2013a)</w:t>
      </w:r>
      <w:r w:rsidR="00252BBF">
        <w:t xml:space="preserve"> (</w:t>
      </w:r>
      <w:r w:rsidR="00252BBF">
        <w:fldChar w:fldCharType="begin"/>
      </w:r>
      <w:r w:rsidR="00252BBF">
        <w:instrText xml:space="preserve"> REF _Ref42878695 \h </w:instrText>
      </w:r>
      <w:r w:rsidR="00252BBF">
        <w:fldChar w:fldCharType="separate"/>
      </w:r>
      <w:r w:rsidR="00BE5F47">
        <w:t xml:space="preserve">Figure </w:t>
      </w:r>
      <w:r w:rsidR="00BE5F47">
        <w:rPr>
          <w:noProof/>
        </w:rPr>
        <w:t>1</w:t>
      </w:r>
      <w:r w:rsidR="00BE5F47">
        <w:noBreakHyphen/>
      </w:r>
      <w:r w:rsidR="00BE5F47">
        <w:rPr>
          <w:noProof/>
        </w:rPr>
        <w:t>1</w:t>
      </w:r>
      <w:r w:rsidR="00252BBF">
        <w:fldChar w:fldCharType="end"/>
      </w:r>
      <w:r w:rsidR="00252BBF">
        <w:t>)</w:t>
      </w:r>
      <w:r>
        <w:t xml:space="preserve">. The BCS sets out a range of Conservation Areas that are required to protect </w:t>
      </w:r>
      <w:r w:rsidR="0038646A">
        <w:t>M</w:t>
      </w:r>
      <w:r>
        <w:t xml:space="preserve">atters of </w:t>
      </w:r>
      <w:r w:rsidR="0038646A">
        <w:t>N</w:t>
      </w:r>
      <w:r>
        <w:t xml:space="preserve">ational </w:t>
      </w:r>
      <w:r w:rsidR="0038646A">
        <w:t>E</w:t>
      </w:r>
      <w:r>
        <w:t xml:space="preserve">nvironmental </w:t>
      </w:r>
      <w:r w:rsidR="0038646A">
        <w:t>S</w:t>
      </w:r>
      <w:r>
        <w:t xml:space="preserve">ignificance (MNES) in Melbourne’s growth corridors. </w:t>
      </w:r>
    </w:p>
    <w:p w14:paraId="75B1F615" w14:textId="77777777" w:rsidR="00934E90" w:rsidRDefault="00934E90" w:rsidP="00090E03">
      <w:pPr>
        <w:pStyle w:val="Para0"/>
      </w:pPr>
      <w:r>
        <w:rPr>
          <w:noProof/>
        </w:rPr>
        <w:drawing>
          <wp:inline distT="0" distB="0" distL="0" distR="0" wp14:anchorId="3504B140" wp14:editId="30356A53">
            <wp:extent cx="4161543" cy="5906270"/>
            <wp:effectExtent l="381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5400000">
                      <a:off x="0" y="0"/>
                      <a:ext cx="4176431" cy="5927400"/>
                    </a:xfrm>
                    <a:prstGeom prst="rect">
                      <a:avLst/>
                    </a:prstGeom>
                  </pic:spPr>
                </pic:pic>
              </a:graphicData>
            </a:graphic>
          </wp:inline>
        </w:drawing>
      </w:r>
    </w:p>
    <w:p w14:paraId="470FF36D" w14:textId="48D220DF" w:rsidR="00934E90" w:rsidRDefault="00252BBF" w:rsidP="00252BBF">
      <w:pPr>
        <w:pStyle w:val="Caption"/>
      </w:pPr>
      <w:bookmarkStart w:id="8" w:name="_Ref42878695"/>
      <w:r>
        <w:t xml:space="preserve">Figure </w:t>
      </w:r>
      <w:r w:rsidR="00E67EC2">
        <w:fldChar w:fldCharType="begin"/>
      </w:r>
      <w:r w:rsidR="00E67EC2">
        <w:instrText xml:space="preserve"> STYLEREF 1 \s </w:instrText>
      </w:r>
      <w:r w:rsidR="00E67EC2">
        <w:fldChar w:fldCharType="separate"/>
      </w:r>
      <w:r w:rsidR="00BE5F47">
        <w:rPr>
          <w:noProof/>
        </w:rPr>
        <w:t>1</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1</w:t>
      </w:r>
      <w:r w:rsidR="00E67EC2">
        <w:fldChar w:fldCharType="end"/>
      </w:r>
      <w:bookmarkEnd w:id="8"/>
      <w:r>
        <w:t xml:space="preserve"> </w:t>
      </w:r>
      <w:r w:rsidR="00934E90">
        <w:t>Cardinia Creek Biodiversity Conservation Area 36 (DEPI 2013a)</w:t>
      </w:r>
    </w:p>
    <w:p w14:paraId="1ABF08C5" w14:textId="71D31CAD" w:rsidR="00090E03" w:rsidRDefault="00934E90" w:rsidP="00090E03">
      <w:pPr>
        <w:pStyle w:val="Para0"/>
      </w:pPr>
      <w:r>
        <w:t>Biodiversity</w:t>
      </w:r>
      <w:r w:rsidR="00090E03">
        <w:t xml:space="preserve"> Conservation Area 36</w:t>
      </w:r>
      <w:r>
        <w:t xml:space="preserve"> is noted for supporting</w:t>
      </w:r>
      <w:r w:rsidR="00090E03">
        <w:t xml:space="preserve"> the following biodiversity values of national significance:</w:t>
      </w:r>
    </w:p>
    <w:p w14:paraId="2DC020E5" w14:textId="753CBC1C" w:rsidR="00090E03" w:rsidRDefault="00090E03" w:rsidP="00157971">
      <w:pPr>
        <w:pStyle w:val="Para0"/>
        <w:numPr>
          <w:ilvl w:val="0"/>
          <w:numId w:val="73"/>
        </w:numPr>
        <w:spacing w:before="120" w:line="240" w:lineRule="auto"/>
        <w:ind w:left="714" w:hanging="357"/>
      </w:pPr>
      <w:r>
        <w:t xml:space="preserve">Australian </w:t>
      </w:r>
      <w:r w:rsidR="0045757F">
        <w:t>grayling</w:t>
      </w:r>
      <w:r>
        <w:t xml:space="preserve"> population within high quality habitat at Cardinia Creek</w:t>
      </w:r>
    </w:p>
    <w:p w14:paraId="3EBAB4ED" w14:textId="77777777" w:rsidR="00090E03" w:rsidRDefault="00090E03" w:rsidP="00157971">
      <w:pPr>
        <w:pStyle w:val="Para0"/>
        <w:numPr>
          <w:ilvl w:val="0"/>
          <w:numId w:val="73"/>
        </w:numPr>
        <w:spacing w:before="120" w:line="240" w:lineRule="auto"/>
        <w:ind w:left="714" w:hanging="357"/>
      </w:pPr>
      <w:r>
        <w:t>Dwarf Galaxias population within high quality habitat at Cardinia and Clyde Creeks</w:t>
      </w:r>
    </w:p>
    <w:p w14:paraId="1BBBC9BB" w14:textId="77777777" w:rsidR="00090E03" w:rsidRDefault="00090E03" w:rsidP="00157971">
      <w:pPr>
        <w:pStyle w:val="Para0"/>
        <w:numPr>
          <w:ilvl w:val="0"/>
          <w:numId w:val="73"/>
        </w:numPr>
        <w:spacing w:before="120" w:line="240" w:lineRule="auto"/>
        <w:ind w:left="714" w:hanging="357"/>
      </w:pPr>
      <w:r>
        <w:t>Growling Grass Frog populations within high quality habitat</w:t>
      </w:r>
    </w:p>
    <w:p w14:paraId="0E36D86A" w14:textId="01D93170" w:rsidR="00090E03" w:rsidRDefault="00090E03" w:rsidP="00157971">
      <w:pPr>
        <w:pStyle w:val="Para0"/>
        <w:numPr>
          <w:ilvl w:val="0"/>
          <w:numId w:val="73"/>
        </w:numPr>
        <w:spacing w:before="120" w:line="240" w:lineRule="auto"/>
        <w:ind w:left="714" w:hanging="357"/>
      </w:pPr>
      <w:r>
        <w:t xml:space="preserve">The Minta Farm wetlands in the Minta Farm Precinct was identified as </w:t>
      </w:r>
      <w:r w:rsidR="006E6CDA">
        <w:t xml:space="preserve">a site </w:t>
      </w:r>
      <w:r>
        <w:t>likely to support nationally important populations of some migratory waterbirds.</w:t>
      </w:r>
    </w:p>
    <w:p w14:paraId="691906F0" w14:textId="25C074EF" w:rsidR="00090E03" w:rsidRDefault="00E87F0C" w:rsidP="00090E03">
      <w:pPr>
        <w:pStyle w:val="Para0"/>
      </w:pPr>
      <w:r>
        <w:t xml:space="preserve">Three </w:t>
      </w:r>
      <w:r w:rsidR="00090E03">
        <w:t xml:space="preserve">specific </w:t>
      </w:r>
      <w:r>
        <w:t xml:space="preserve">urban development </w:t>
      </w:r>
      <w:r w:rsidR="00090E03">
        <w:t xml:space="preserve">growth precincts </w:t>
      </w:r>
      <w:r>
        <w:t>(as set out in Precinct Structure Plans)</w:t>
      </w:r>
      <w:r w:rsidR="006E6CDA">
        <w:t xml:space="preserve"> are located adjacent to Cardinia Creek </w:t>
      </w:r>
      <w:r w:rsidR="008573EC">
        <w:t>with</w:t>
      </w:r>
      <w:r w:rsidR="006E6CDA">
        <w:t xml:space="preserve"> drainage outfalls to</w:t>
      </w:r>
      <w:r>
        <w:t xml:space="preserve"> </w:t>
      </w:r>
      <w:r w:rsidR="006E6CDA">
        <w:t>the creek</w:t>
      </w:r>
      <w:r>
        <w:t xml:space="preserve">, namely </w:t>
      </w:r>
      <w:r w:rsidR="00090E03">
        <w:t xml:space="preserve">Cardinia Creek South (previously called the McPherson PSP), Minta Farm and Officer South Employment PSPs. A condition of development for these PSPs is </w:t>
      </w:r>
      <w:r w:rsidR="00090E03">
        <w:lastRenderedPageBreak/>
        <w:t xml:space="preserve">that the habitat for the EPBC-listed Australian </w:t>
      </w:r>
      <w:r w:rsidR="0045757F">
        <w:t>grayling</w:t>
      </w:r>
      <w:r w:rsidR="00090E03">
        <w:t xml:space="preserve"> and Dwarf Galaxias populations within the Cardinia Creek corridor </w:t>
      </w:r>
      <w:r w:rsidR="008573EC">
        <w:t>is</w:t>
      </w:r>
      <w:r w:rsidR="00090E03">
        <w:t xml:space="preserve"> protected and managed. </w:t>
      </w:r>
    </w:p>
    <w:p w14:paraId="002C1A61" w14:textId="77777777" w:rsidR="00090E03" w:rsidRDefault="00090E03" w:rsidP="00090E03">
      <w:pPr>
        <w:pStyle w:val="Para0"/>
      </w:pPr>
      <w:r>
        <w:t>This study has been commissioned to assess the potential for adverse impacts to these two species resulting from hydrological change associated with development of these three PSPs. The outcomes from this project will inform discussions on this matter between key stakeholders, including DELWP, VPA, City of Casey, Shire of Cardinia, and landowners.</w:t>
      </w:r>
    </w:p>
    <w:p w14:paraId="1745EE77" w14:textId="77777777" w:rsidR="00090E03" w:rsidRDefault="00E87F0C" w:rsidP="00E87F0C">
      <w:pPr>
        <w:pStyle w:val="Heading2"/>
      </w:pPr>
      <w:bookmarkStart w:id="9" w:name="_Toc69480688"/>
      <w:r>
        <w:t>Objectives and approach</w:t>
      </w:r>
      <w:bookmarkEnd w:id="9"/>
    </w:p>
    <w:p w14:paraId="70DA1721" w14:textId="1A68CB22" w:rsidR="00AE7FCC" w:rsidRDefault="00AE7FCC" w:rsidP="00AE7FCC">
      <w:pPr>
        <w:pStyle w:val="Para0narrow"/>
        <w:rPr>
          <w:lang w:val="en-AU"/>
        </w:rPr>
      </w:pPr>
      <w:r>
        <w:rPr>
          <w:lang w:val="en-AU"/>
        </w:rPr>
        <w:t xml:space="preserve">The key objective of the project is to determine risks to Australian </w:t>
      </w:r>
      <w:r w:rsidR="0045757F">
        <w:rPr>
          <w:lang w:val="en-AU"/>
        </w:rPr>
        <w:t>grayling</w:t>
      </w:r>
      <w:r>
        <w:rPr>
          <w:lang w:val="en-AU"/>
        </w:rPr>
        <w:t xml:space="preserve"> and Dwarf Galaxias as a result of any changes to flow regime caused by development in the three nominated PSP areas. </w:t>
      </w:r>
      <w:r w:rsidR="008573EC">
        <w:rPr>
          <w:lang w:val="en-AU"/>
        </w:rPr>
        <w:t xml:space="preserve">Development of the PSP areas into urban land use with a high percentage of impervious surfaces will alter stormwater runoff patterns from these areas into the creek, and potentially the hydrological conditions and flow regime of the Creek overall. </w:t>
      </w:r>
      <w:r>
        <w:rPr>
          <w:lang w:val="en-AU"/>
        </w:rPr>
        <w:t xml:space="preserve"> There are two main risk pathways to Australian </w:t>
      </w:r>
      <w:r w:rsidR="0045757F">
        <w:rPr>
          <w:lang w:val="en-AU"/>
        </w:rPr>
        <w:t>grayling</w:t>
      </w:r>
      <w:r>
        <w:rPr>
          <w:lang w:val="en-AU"/>
        </w:rPr>
        <w:t xml:space="preserve"> and Dwarf Galaxias</w:t>
      </w:r>
      <w:r w:rsidR="008573EC">
        <w:rPr>
          <w:lang w:val="en-AU"/>
        </w:rPr>
        <w:t xml:space="preserve"> associated with hydrological changes:</w:t>
      </w:r>
    </w:p>
    <w:p w14:paraId="79B64D43" w14:textId="77777777" w:rsidR="00AE7FCC" w:rsidRDefault="00AE7FCC" w:rsidP="00AE7FCC">
      <w:pPr>
        <w:autoSpaceDE w:val="0"/>
        <w:autoSpaceDN w:val="0"/>
        <w:adjustRightInd w:val="0"/>
        <w:spacing w:after="0" w:line="240" w:lineRule="auto"/>
        <w:rPr>
          <w:rFonts w:cs="Arial"/>
          <w:color w:val="231F20"/>
          <w:szCs w:val="20"/>
          <w:lang w:val="en-AU"/>
        </w:rPr>
      </w:pPr>
    </w:p>
    <w:p w14:paraId="61BF0257" w14:textId="535BB28D" w:rsidR="00AE7FCC" w:rsidRDefault="00AE7FCC" w:rsidP="00157971">
      <w:pPr>
        <w:pStyle w:val="ListParagraph"/>
        <w:numPr>
          <w:ilvl w:val="0"/>
          <w:numId w:val="75"/>
        </w:numPr>
        <w:autoSpaceDE w:val="0"/>
        <w:autoSpaceDN w:val="0"/>
        <w:adjustRightInd w:val="0"/>
        <w:spacing w:after="0" w:line="240" w:lineRule="auto"/>
        <w:rPr>
          <w:rFonts w:cs="Arial"/>
          <w:color w:val="231F20"/>
          <w:szCs w:val="20"/>
          <w:lang w:val="en-AU"/>
        </w:rPr>
      </w:pPr>
      <w:r w:rsidRPr="00DD0F0E">
        <w:rPr>
          <w:rFonts w:cs="Arial"/>
          <w:color w:val="231F20"/>
          <w:szCs w:val="20"/>
          <w:lang w:val="en-AU"/>
        </w:rPr>
        <w:t>Changes in flow regime that result in loss of important flow cues</w:t>
      </w:r>
      <w:r>
        <w:rPr>
          <w:rFonts w:cs="Arial"/>
          <w:color w:val="231F20"/>
          <w:szCs w:val="20"/>
          <w:lang w:val="en-AU"/>
        </w:rPr>
        <w:t xml:space="preserve"> / flow components (e.g. base flows, autumn and spring freshes etc</w:t>
      </w:r>
      <w:r w:rsidR="008573EC">
        <w:rPr>
          <w:rFonts w:cs="Arial"/>
          <w:color w:val="231F20"/>
          <w:szCs w:val="20"/>
          <w:lang w:val="en-AU"/>
        </w:rPr>
        <w:t>.</w:t>
      </w:r>
      <w:r>
        <w:rPr>
          <w:rFonts w:cs="Arial"/>
          <w:color w:val="231F20"/>
          <w:szCs w:val="20"/>
          <w:lang w:val="en-AU"/>
        </w:rPr>
        <w:t>)</w:t>
      </w:r>
      <w:r w:rsidRPr="00DD0F0E">
        <w:rPr>
          <w:rFonts w:cs="Arial"/>
          <w:color w:val="231F20"/>
          <w:szCs w:val="20"/>
          <w:lang w:val="en-AU"/>
        </w:rPr>
        <w:t xml:space="preserve"> that initiate</w:t>
      </w:r>
      <w:r>
        <w:rPr>
          <w:rFonts w:cs="Arial"/>
          <w:color w:val="231F20"/>
          <w:szCs w:val="20"/>
          <w:lang w:val="en-AU"/>
        </w:rPr>
        <w:t xml:space="preserve"> or support</w:t>
      </w:r>
      <w:r w:rsidRPr="00DD0F0E">
        <w:rPr>
          <w:rFonts w:cs="Arial"/>
          <w:color w:val="231F20"/>
          <w:szCs w:val="20"/>
          <w:lang w:val="en-AU"/>
        </w:rPr>
        <w:t xml:space="preserve"> critical life history responses (e.g. spawning and/or migration</w:t>
      </w:r>
      <w:r w:rsidR="004A7938">
        <w:rPr>
          <w:rFonts w:cs="Arial"/>
          <w:color w:val="231F20"/>
          <w:szCs w:val="20"/>
          <w:lang w:val="en-AU"/>
        </w:rPr>
        <w:t>, maintenance of wetland habitat etc</w:t>
      </w:r>
      <w:r w:rsidRPr="00DD0F0E">
        <w:rPr>
          <w:rFonts w:cs="Arial"/>
          <w:color w:val="231F20"/>
          <w:szCs w:val="20"/>
          <w:lang w:val="en-AU"/>
        </w:rPr>
        <w:t>).</w:t>
      </w:r>
    </w:p>
    <w:p w14:paraId="77C9BF4F" w14:textId="77777777" w:rsidR="00017990" w:rsidRPr="00017990" w:rsidRDefault="00017990" w:rsidP="00017990">
      <w:pPr>
        <w:autoSpaceDE w:val="0"/>
        <w:autoSpaceDN w:val="0"/>
        <w:adjustRightInd w:val="0"/>
        <w:spacing w:after="0" w:line="240" w:lineRule="auto"/>
        <w:rPr>
          <w:rFonts w:cs="Arial"/>
          <w:color w:val="231F20"/>
          <w:szCs w:val="20"/>
          <w:lang w:val="en-AU"/>
        </w:rPr>
      </w:pPr>
    </w:p>
    <w:p w14:paraId="11BD35A2" w14:textId="77777777" w:rsidR="00AE7FCC" w:rsidRPr="00DD0F0E" w:rsidRDefault="00AE7FCC" w:rsidP="00157971">
      <w:pPr>
        <w:pStyle w:val="ListParagraph"/>
        <w:numPr>
          <w:ilvl w:val="0"/>
          <w:numId w:val="75"/>
        </w:numPr>
        <w:autoSpaceDE w:val="0"/>
        <w:autoSpaceDN w:val="0"/>
        <w:adjustRightInd w:val="0"/>
        <w:spacing w:after="0" w:line="240" w:lineRule="auto"/>
        <w:rPr>
          <w:rFonts w:cs="Arial"/>
          <w:color w:val="231F20"/>
          <w:szCs w:val="20"/>
          <w:lang w:val="en-AU"/>
        </w:rPr>
      </w:pPr>
      <w:r w:rsidRPr="00DD0F0E">
        <w:rPr>
          <w:rFonts w:cs="Arial"/>
          <w:color w:val="231F20"/>
          <w:szCs w:val="20"/>
          <w:lang w:val="en-AU"/>
        </w:rPr>
        <w:t>Changes in flow regime that result in degradation of habitat critical to the survival of all life history stages (eggs, larvae, juveniles and adults).</w:t>
      </w:r>
    </w:p>
    <w:p w14:paraId="1608F7C1" w14:textId="287DA40E" w:rsidR="00206C05" w:rsidRDefault="00206C05" w:rsidP="00AE7FCC">
      <w:pPr>
        <w:pStyle w:val="Para0"/>
      </w:pPr>
      <w:r w:rsidRPr="00206C05">
        <w:rPr>
          <w:lang w:val="en-AU"/>
        </w:rPr>
        <w:t xml:space="preserve">To meet the project objectives, </w:t>
      </w:r>
      <w:r w:rsidR="00D951B1">
        <w:rPr>
          <w:lang w:val="en-AU"/>
        </w:rPr>
        <w:t xml:space="preserve">Jacobs </w:t>
      </w:r>
      <w:r w:rsidR="008573EC">
        <w:rPr>
          <w:lang w:val="en-AU"/>
        </w:rPr>
        <w:t>developed models to simulate altered stormwater and creek flows as a result of each PSP development. W</w:t>
      </w:r>
      <w:r w:rsidRPr="00206C05">
        <w:rPr>
          <w:lang w:val="en-AU"/>
        </w:rPr>
        <w:t xml:space="preserve">e </w:t>
      </w:r>
      <w:r w:rsidR="0005163C">
        <w:rPr>
          <w:lang w:val="en-AU"/>
        </w:rPr>
        <w:t>have</w:t>
      </w:r>
      <w:r w:rsidRPr="00206C05">
        <w:rPr>
          <w:lang w:val="en-AU"/>
        </w:rPr>
        <w:t xml:space="preserve"> develop</w:t>
      </w:r>
      <w:r w:rsidR="0005163C">
        <w:rPr>
          <w:lang w:val="en-AU"/>
        </w:rPr>
        <w:t>ed</w:t>
      </w:r>
      <w:r w:rsidRPr="00206C05">
        <w:rPr>
          <w:lang w:val="en-AU"/>
        </w:rPr>
        <w:t xml:space="preserve"> both a </w:t>
      </w:r>
      <w:r w:rsidRPr="00206C05">
        <w:rPr>
          <w:b/>
          <w:lang w:val="en-AU"/>
        </w:rPr>
        <w:t>hydrological model</w:t>
      </w:r>
      <w:r w:rsidRPr="00206C05">
        <w:rPr>
          <w:lang w:val="en-AU"/>
        </w:rPr>
        <w:t xml:space="preserve"> for the catchment and a </w:t>
      </w:r>
      <w:r w:rsidRPr="00206C05">
        <w:rPr>
          <w:b/>
          <w:lang w:val="en-AU"/>
        </w:rPr>
        <w:t>hydraulic model</w:t>
      </w:r>
      <w:r w:rsidRPr="00206C05">
        <w:rPr>
          <w:lang w:val="en-AU"/>
        </w:rPr>
        <w:t xml:space="preserve"> for selected locations that represent known or potential good quality habitat for Australian </w:t>
      </w:r>
      <w:r w:rsidR="0045757F">
        <w:rPr>
          <w:lang w:val="en-AU"/>
        </w:rPr>
        <w:t>grayling</w:t>
      </w:r>
      <w:r w:rsidRPr="00206C05">
        <w:rPr>
          <w:lang w:val="en-AU"/>
        </w:rPr>
        <w:t xml:space="preserve"> and Dwarf Galaxias.  </w:t>
      </w:r>
      <w:r w:rsidR="0005163C">
        <w:rPr>
          <w:lang w:val="en-AU"/>
        </w:rPr>
        <w:t xml:space="preserve">The hydrological model has been used to determine changes in flow in Cardinia Creek following the development of PSPs, with associated changes to stormwater runoff. </w:t>
      </w:r>
      <w:r w:rsidRPr="00206C05">
        <w:rPr>
          <w:lang w:val="en-AU"/>
        </w:rPr>
        <w:t xml:space="preserve">The hydraulic model </w:t>
      </w:r>
      <w:r w:rsidR="0005163C">
        <w:rPr>
          <w:lang w:val="en-AU"/>
        </w:rPr>
        <w:t>has been</w:t>
      </w:r>
      <w:r w:rsidRPr="00206C05">
        <w:rPr>
          <w:lang w:val="en-AU"/>
        </w:rPr>
        <w:t xml:space="preserve"> used to determine</w:t>
      </w:r>
      <w:r w:rsidR="0005163C">
        <w:rPr>
          <w:lang w:val="en-AU"/>
        </w:rPr>
        <w:t xml:space="preserve"> creek</w:t>
      </w:r>
      <w:r w:rsidRPr="00206C05">
        <w:rPr>
          <w:lang w:val="en-AU"/>
        </w:rPr>
        <w:t xml:space="preserve"> flow magnitudes that represent various levels of </w:t>
      </w:r>
      <w:r w:rsidR="0005163C">
        <w:rPr>
          <w:lang w:val="en-AU"/>
        </w:rPr>
        <w:t xml:space="preserve">physical </w:t>
      </w:r>
      <w:r w:rsidRPr="00206C05">
        <w:rPr>
          <w:lang w:val="en-AU"/>
        </w:rPr>
        <w:t xml:space="preserve">risk </w:t>
      </w:r>
      <w:r w:rsidR="0005163C">
        <w:rPr>
          <w:lang w:val="en-AU"/>
        </w:rPr>
        <w:t xml:space="preserve">to the creek </w:t>
      </w:r>
      <w:r w:rsidRPr="00206C05">
        <w:rPr>
          <w:lang w:val="en-AU"/>
        </w:rPr>
        <w:t xml:space="preserve">(e.g. excessive shear stress) or that inundate important habitats (e.g. backwaters or off-stream wetlands).  </w:t>
      </w:r>
      <w:r w:rsidR="0005163C">
        <w:rPr>
          <w:lang w:val="en-AU"/>
        </w:rPr>
        <w:t xml:space="preserve">Following the establishment of critical flow thresholds, </w:t>
      </w:r>
      <w:r w:rsidRPr="00206C05">
        <w:rPr>
          <w:lang w:val="en-AU"/>
        </w:rPr>
        <w:t xml:space="preserve">the hydrological models </w:t>
      </w:r>
      <w:r w:rsidR="0005163C">
        <w:rPr>
          <w:lang w:val="en-AU"/>
        </w:rPr>
        <w:t>were</w:t>
      </w:r>
      <w:r w:rsidRPr="00206C05">
        <w:rPr>
          <w:lang w:val="en-AU"/>
        </w:rPr>
        <w:t xml:space="preserve"> used to investigate changes in those critical thresholds and translate those changes to risks to fish, either directly, or via impacts on habitat. </w:t>
      </w:r>
      <w:r w:rsidRPr="00206C05">
        <w:t xml:space="preserve"> </w:t>
      </w:r>
      <w:r w:rsidR="00854DBC">
        <w:t xml:space="preserve"> </w:t>
      </w:r>
    </w:p>
    <w:p w14:paraId="788A1CCF" w14:textId="0B9F327D" w:rsidR="00BB55F7" w:rsidRDefault="00BB55F7" w:rsidP="00206C05">
      <w:pPr>
        <w:pStyle w:val="Heading2"/>
      </w:pPr>
      <w:bookmarkStart w:id="10" w:name="_Toc69480689"/>
      <w:r>
        <w:t>Report Structure</w:t>
      </w:r>
      <w:bookmarkEnd w:id="10"/>
    </w:p>
    <w:p w14:paraId="5824479F" w14:textId="0F0638A7" w:rsidR="00494DCD" w:rsidRDefault="00494DCD" w:rsidP="00494DCD">
      <w:pPr>
        <w:pStyle w:val="Para0"/>
      </w:pPr>
      <w:r>
        <w:t xml:space="preserve">This report outlines the assessment of risks to fish (dwarf galaxias and Australian </w:t>
      </w:r>
      <w:r w:rsidR="0045757F">
        <w:t>grayling</w:t>
      </w:r>
      <w:r>
        <w:t>) from changes in hydrological regime in Cardinia creek due to urban development in 3 PSP areas.  The report covers:</w:t>
      </w:r>
      <w:r w:rsidRPr="00D17E12">
        <w:t xml:space="preserve"> </w:t>
      </w:r>
    </w:p>
    <w:p w14:paraId="2638D8E9" w14:textId="5EBF6C16" w:rsidR="007869C5" w:rsidRDefault="00DF26B2" w:rsidP="00494DCD">
      <w:pPr>
        <w:pStyle w:val="Para0bullet"/>
      </w:pPr>
      <w:r>
        <w:t>A project background</w:t>
      </w:r>
      <w:r w:rsidR="007869C5">
        <w:t xml:space="preserve">, PSP development details, </w:t>
      </w:r>
      <w:r>
        <w:t xml:space="preserve">and </w:t>
      </w:r>
      <w:r w:rsidR="007869C5">
        <w:t xml:space="preserve">summary of </w:t>
      </w:r>
      <w:r w:rsidR="007869C5" w:rsidRPr="00777331">
        <w:t>project requirements</w:t>
      </w:r>
      <w:r w:rsidR="007869C5">
        <w:t xml:space="preserve"> (Chapter </w:t>
      </w:r>
      <w:r>
        <w:t>2</w:t>
      </w:r>
      <w:r w:rsidR="007869C5">
        <w:t>)</w:t>
      </w:r>
    </w:p>
    <w:p w14:paraId="3130CBB7" w14:textId="7D5CFC7F" w:rsidR="00CA4DED" w:rsidRDefault="00494DCD" w:rsidP="00494DCD">
      <w:pPr>
        <w:pStyle w:val="Para0bullet"/>
      </w:pPr>
      <w:r>
        <w:t xml:space="preserve">A review of the flow and habitat requirements of </w:t>
      </w:r>
      <w:r w:rsidR="00DA0421">
        <w:t xml:space="preserve">the dwarf galaxias and Australian </w:t>
      </w:r>
      <w:r w:rsidR="0045757F">
        <w:t>grayling</w:t>
      </w:r>
      <w:r>
        <w:t xml:space="preserve"> in the study </w:t>
      </w:r>
      <w:r w:rsidR="00DA0421">
        <w:t xml:space="preserve">area. </w:t>
      </w:r>
      <w:r w:rsidR="00CA4DED">
        <w:t>(Chapter</w:t>
      </w:r>
      <w:r w:rsidR="00A63223">
        <w:fldChar w:fldCharType="begin"/>
      </w:r>
      <w:r w:rsidR="00A63223">
        <w:instrText xml:space="preserve"> REF _Ref39238842 \r \h </w:instrText>
      </w:r>
      <w:r w:rsidR="00A63223">
        <w:fldChar w:fldCharType="separate"/>
      </w:r>
      <w:r w:rsidR="00BE5F47">
        <w:t>3</w:t>
      </w:r>
      <w:r w:rsidR="00A63223">
        <w:fldChar w:fldCharType="end"/>
      </w:r>
      <w:r w:rsidR="00CA4DED">
        <w:t>)</w:t>
      </w:r>
      <w:r w:rsidR="00082ACE">
        <w:t>, including critical flow criteria against which risks will be assessed</w:t>
      </w:r>
      <w:r w:rsidR="00CA4DED">
        <w:t>.</w:t>
      </w:r>
    </w:p>
    <w:p w14:paraId="488A723D" w14:textId="4F033F0A" w:rsidR="00082ACE" w:rsidRDefault="00494DCD" w:rsidP="00494DCD">
      <w:pPr>
        <w:pStyle w:val="Para0bullet"/>
      </w:pPr>
      <w:r>
        <w:t xml:space="preserve">A description of </w:t>
      </w:r>
      <w:r w:rsidR="00082ACE">
        <w:t>the fish risk assessment framework</w:t>
      </w:r>
      <w:r w:rsidR="00252BBF">
        <w:t xml:space="preserve"> and modelling approach</w:t>
      </w:r>
      <w:r w:rsidR="00082ACE">
        <w:t xml:space="preserve"> (Chapter </w:t>
      </w:r>
      <w:r w:rsidR="00082ACE">
        <w:fldChar w:fldCharType="begin"/>
      </w:r>
      <w:r w:rsidR="00082ACE">
        <w:instrText xml:space="preserve"> REF _Ref39238997 \r \h </w:instrText>
      </w:r>
      <w:r w:rsidR="00082ACE">
        <w:fldChar w:fldCharType="separate"/>
      </w:r>
      <w:r w:rsidR="00BE5F47">
        <w:t>4</w:t>
      </w:r>
      <w:r w:rsidR="00082ACE">
        <w:fldChar w:fldCharType="end"/>
      </w:r>
      <w:r w:rsidR="00082ACE">
        <w:t>)</w:t>
      </w:r>
    </w:p>
    <w:p w14:paraId="0B9C8A8E" w14:textId="00C8BD90" w:rsidR="00494DCD" w:rsidRDefault="00CA4DED" w:rsidP="00494DCD">
      <w:pPr>
        <w:pStyle w:val="Para0bullet"/>
      </w:pPr>
      <w:r>
        <w:t>Risk Assessment results</w:t>
      </w:r>
      <w:r w:rsidR="008F6A43">
        <w:t xml:space="preserve"> (</w:t>
      </w:r>
      <w:r w:rsidR="00252BBF">
        <w:t xml:space="preserve">Section </w:t>
      </w:r>
      <w:r w:rsidR="00252BBF">
        <w:fldChar w:fldCharType="begin"/>
      </w:r>
      <w:r w:rsidR="00252BBF">
        <w:instrText xml:space="preserve"> REF _Ref41468448 \w \h </w:instrText>
      </w:r>
      <w:r w:rsidR="00252BBF">
        <w:fldChar w:fldCharType="separate"/>
      </w:r>
      <w:r w:rsidR="00BE5F47">
        <w:t>5</w:t>
      </w:r>
      <w:r w:rsidR="00252BBF">
        <w:fldChar w:fldCharType="end"/>
      </w:r>
      <w:r w:rsidR="00DA0421">
        <w:t>)</w:t>
      </w:r>
      <w:r w:rsidR="00126F54">
        <w:t xml:space="preserve">. This chapter compares modelled flow scenarios with critical flow components to </w:t>
      </w:r>
      <w:r w:rsidR="00126F54" w:rsidRPr="00017990">
        <w:rPr>
          <w:lang w:val="en-AU"/>
        </w:rPr>
        <w:t>to determine level of risk</w:t>
      </w:r>
      <w:r w:rsidR="00126F54">
        <w:rPr>
          <w:lang w:val="en-AU"/>
        </w:rPr>
        <w:t xml:space="preserve"> for fish in Cardinia Creek</w:t>
      </w:r>
    </w:p>
    <w:p w14:paraId="3A60B770" w14:textId="6A909990" w:rsidR="00DA0421" w:rsidRPr="00D17E12" w:rsidRDefault="00252BBF" w:rsidP="00494DCD">
      <w:pPr>
        <w:pStyle w:val="Para0bullet"/>
      </w:pPr>
      <w:r>
        <w:t>Summary and mitigation recommendations</w:t>
      </w:r>
      <w:r w:rsidR="00DA0421">
        <w:t xml:space="preserve"> (Chapter </w:t>
      </w:r>
      <w:r>
        <w:t>6</w:t>
      </w:r>
      <w:r w:rsidR="00126F54">
        <w:t>)</w:t>
      </w:r>
    </w:p>
    <w:p w14:paraId="6F274EA5" w14:textId="42CB1D3D" w:rsidR="00F263C8" w:rsidRDefault="00206C05" w:rsidP="00854DBC">
      <w:pPr>
        <w:pStyle w:val="Heading1"/>
      </w:pPr>
      <w:bookmarkStart w:id="11" w:name="_Toc69480690"/>
      <w:bookmarkStart w:id="12" w:name="_Ref39223078"/>
      <w:r>
        <w:lastRenderedPageBreak/>
        <w:t>Background</w:t>
      </w:r>
      <w:r w:rsidR="007869C5">
        <w:t xml:space="preserve"> and </w:t>
      </w:r>
      <w:r>
        <w:t>PSP details</w:t>
      </w:r>
      <w:bookmarkEnd w:id="11"/>
    </w:p>
    <w:p w14:paraId="052D8A00" w14:textId="2565982D" w:rsidR="007869C5" w:rsidRDefault="00270DFC" w:rsidP="007869C5">
      <w:pPr>
        <w:pStyle w:val="Para0"/>
      </w:pPr>
      <w:r>
        <w:t>This report assesses potential impacts from three PSP areas in the Cardinia Creek catchment. Cardinia Creek is located south east of Melbourne, and flows from Cardinia Reservoir to Westernport Bay</w:t>
      </w:r>
      <w:r w:rsidR="004A7938">
        <w:t xml:space="preserve"> (</w:t>
      </w:r>
      <w:r w:rsidR="00252BBF">
        <w:fldChar w:fldCharType="begin"/>
      </w:r>
      <w:r w:rsidR="00252BBF">
        <w:instrText xml:space="preserve"> REF _Ref42878865 \h </w:instrText>
      </w:r>
      <w:r w:rsidR="00252BBF">
        <w:fldChar w:fldCharType="separate"/>
      </w:r>
      <w:r w:rsidR="00BE5F47">
        <w:t xml:space="preserve">Figure </w:t>
      </w:r>
      <w:r w:rsidR="00BE5F47">
        <w:rPr>
          <w:noProof/>
        </w:rPr>
        <w:t>2</w:t>
      </w:r>
      <w:r w:rsidR="00BE5F47">
        <w:noBreakHyphen/>
      </w:r>
      <w:r w:rsidR="00BE5F47">
        <w:rPr>
          <w:noProof/>
        </w:rPr>
        <w:t>1</w:t>
      </w:r>
      <w:r w:rsidR="00252BBF">
        <w:fldChar w:fldCharType="end"/>
      </w:r>
      <w:r w:rsidR="004A7938">
        <w:t>)</w:t>
      </w:r>
      <w:r>
        <w:t xml:space="preserve">. The upper catchment is predominantly rural/residential. The middle catchment is an area of rapidly expanding urban development, and includes the three PSPs that are the subject of this study. The lower catchment of the creek is an agricultural area, which has been heavily modified and subject to drainage and channelisation in the lower reaches.  </w:t>
      </w:r>
    </w:p>
    <w:p w14:paraId="28819E24" w14:textId="7F3795FA" w:rsidR="00270DFC" w:rsidRDefault="00270DFC" w:rsidP="007869C5">
      <w:pPr>
        <w:pStyle w:val="Para0"/>
      </w:pPr>
      <w:r w:rsidRPr="00270DFC">
        <w:rPr>
          <w:noProof/>
        </w:rPr>
        <w:drawing>
          <wp:inline distT="0" distB="0" distL="0" distR="0" wp14:anchorId="128181D9" wp14:editId="60E57CC6">
            <wp:extent cx="6248400" cy="6524625"/>
            <wp:effectExtent l="0" t="0" r="0" b="9525"/>
            <wp:docPr id="13" name="Picture 5">
              <a:extLst xmlns:a="http://schemas.openxmlformats.org/drawingml/2006/main">
                <a:ext uri="{FF2B5EF4-FFF2-40B4-BE49-F238E27FC236}">
                  <a16:creationId xmlns:a16="http://schemas.microsoft.com/office/drawing/2014/main" id="{6AE99140-91A8-406C-A769-21895F3E1A92}"/>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AE99140-91A8-406C-A769-21895F3E1A92}"/>
                        </a:ext>
                      </a:extLst>
                    </pic:cNvPr>
                    <pic:cNvPicPr/>
                  </pic:nvPicPr>
                  <pic:blipFill>
                    <a:blip r:embed="rId29" cstate="email">
                      <a:extLst>
                        <a:ext uri="{28A0092B-C50C-407E-A947-70E740481C1C}">
                          <a14:useLocalDpi xmlns:a14="http://schemas.microsoft.com/office/drawing/2010/main"/>
                        </a:ext>
                      </a:extLst>
                    </a:blip>
                    <a:stretch>
                      <a:fillRect/>
                    </a:stretch>
                  </pic:blipFill>
                  <pic:spPr>
                    <a:xfrm>
                      <a:off x="0" y="0"/>
                      <a:ext cx="6248662" cy="6524899"/>
                    </a:xfrm>
                    <a:prstGeom prst="rect">
                      <a:avLst/>
                    </a:prstGeom>
                  </pic:spPr>
                </pic:pic>
              </a:graphicData>
            </a:graphic>
          </wp:inline>
        </w:drawing>
      </w:r>
    </w:p>
    <w:p w14:paraId="03D9F077" w14:textId="14CC952D" w:rsidR="00270DFC" w:rsidRPr="007869C5" w:rsidRDefault="00252BBF" w:rsidP="00252BBF">
      <w:pPr>
        <w:pStyle w:val="Caption"/>
      </w:pPr>
      <w:bookmarkStart w:id="13" w:name="_Ref42878865"/>
      <w:r>
        <w:t xml:space="preserve">Figure </w:t>
      </w:r>
      <w:r w:rsidR="00E67EC2">
        <w:fldChar w:fldCharType="begin"/>
      </w:r>
      <w:r w:rsidR="00E67EC2">
        <w:instrText xml:space="preserve"> STYLEREF 1 \s </w:instrText>
      </w:r>
      <w:r w:rsidR="00E67EC2">
        <w:fldChar w:fldCharType="separate"/>
      </w:r>
      <w:r w:rsidR="00BE5F47">
        <w:rPr>
          <w:noProof/>
        </w:rPr>
        <w:t>2</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1</w:t>
      </w:r>
      <w:r w:rsidR="00E67EC2">
        <w:fldChar w:fldCharType="end"/>
      </w:r>
      <w:bookmarkEnd w:id="13"/>
      <w:r w:rsidR="00270DFC">
        <w:t xml:space="preserve"> Cardinia Creek catchment and PSP locations</w:t>
      </w:r>
    </w:p>
    <w:p w14:paraId="314B3A4F" w14:textId="77777777" w:rsidR="004A7938" w:rsidRDefault="004A7938" w:rsidP="003674B1">
      <w:pPr>
        <w:pStyle w:val="Para0"/>
      </w:pPr>
    </w:p>
    <w:p w14:paraId="1984429B" w14:textId="29FB8437" w:rsidR="003674B1" w:rsidRDefault="00B700B7" w:rsidP="003674B1">
      <w:pPr>
        <w:pStyle w:val="Para0"/>
      </w:pPr>
      <w:r>
        <w:lastRenderedPageBreak/>
        <w:t>The study area itself is located from the Princes Freeway downstream to Westernport Bay.  For the purpose of assessment, the area has been broken into 3 reaches; Reach 1 – Princes Freeway to the Cardinia Drop Structure, Reach 2 – Cardinia Drop Structure to Chasemore (McCormacks) Road and Reach 3</w:t>
      </w:r>
      <w:r w:rsidR="00EE1377">
        <w:t xml:space="preserve"> -</w:t>
      </w:r>
      <w:r>
        <w:t xml:space="preserve"> Chasemore Road to Westernport Bay</w:t>
      </w:r>
      <w:r w:rsidR="00EE1377">
        <w:t xml:space="preserve">.  </w:t>
      </w:r>
      <w:r w:rsidR="00EE1377">
        <w:fldChar w:fldCharType="begin"/>
      </w:r>
      <w:r w:rsidR="00EE1377">
        <w:instrText xml:space="preserve"> REF _Ref42591723 \h </w:instrText>
      </w:r>
      <w:r w:rsidR="00EE1377">
        <w:fldChar w:fldCharType="separate"/>
      </w:r>
      <w:r w:rsidR="00BE5F47">
        <w:t xml:space="preserve">Figure </w:t>
      </w:r>
      <w:r w:rsidR="00BE5F47">
        <w:rPr>
          <w:noProof/>
        </w:rPr>
        <w:t>2</w:t>
      </w:r>
      <w:r w:rsidR="00BE5F47">
        <w:noBreakHyphen/>
      </w:r>
      <w:r w:rsidR="00BE5F47">
        <w:rPr>
          <w:noProof/>
        </w:rPr>
        <w:t>2</w:t>
      </w:r>
      <w:r w:rsidR="00EE1377">
        <w:fldChar w:fldCharType="end"/>
      </w:r>
      <w:r w:rsidR="00EE1377">
        <w:t xml:space="preserve"> </w:t>
      </w:r>
      <w:r w:rsidR="003674B1">
        <w:t xml:space="preserve">shows the </w:t>
      </w:r>
      <w:r>
        <w:t>study reach</w:t>
      </w:r>
      <w:r w:rsidR="00EE1377">
        <w:t xml:space="preserve">es and the locations of specific </w:t>
      </w:r>
      <w:r w:rsidR="003674B1">
        <w:t xml:space="preserve">PSP </w:t>
      </w:r>
      <w:r w:rsidR="00EE1377">
        <w:t xml:space="preserve">outfalls </w:t>
      </w:r>
      <w:r w:rsidR="003674B1">
        <w:t xml:space="preserve">location. </w:t>
      </w:r>
    </w:p>
    <w:p w14:paraId="3643996F" w14:textId="20E60F3E" w:rsidR="00230C0B" w:rsidRDefault="004A7938" w:rsidP="003674B1">
      <w:pPr>
        <w:pStyle w:val="Para0"/>
      </w:pPr>
      <w:r>
        <w:rPr>
          <w:noProof/>
        </w:rPr>
        <mc:AlternateContent>
          <mc:Choice Requires="wpg">
            <w:drawing>
              <wp:anchor distT="0" distB="0" distL="114300" distR="114300" simplePos="0" relativeHeight="251660288" behindDoc="0" locked="0" layoutInCell="1" allowOverlap="1" wp14:anchorId="4BED181A" wp14:editId="5458DD65">
                <wp:simplePos x="0" y="0"/>
                <wp:positionH relativeFrom="column">
                  <wp:posOffset>1499235</wp:posOffset>
                </wp:positionH>
                <wp:positionV relativeFrom="paragraph">
                  <wp:posOffset>76200</wp:posOffset>
                </wp:positionV>
                <wp:extent cx="2276475" cy="5457825"/>
                <wp:effectExtent l="76200" t="38100" r="85725" b="85725"/>
                <wp:wrapNone/>
                <wp:docPr id="6153" name="Group 6153"/>
                <wp:cNvGraphicFramePr/>
                <a:graphic xmlns:a="http://schemas.openxmlformats.org/drawingml/2006/main">
                  <a:graphicData uri="http://schemas.microsoft.com/office/word/2010/wordprocessingGroup">
                    <wpg:wgp>
                      <wpg:cNvGrpSpPr/>
                      <wpg:grpSpPr>
                        <a:xfrm>
                          <a:off x="0" y="0"/>
                          <a:ext cx="2276475" cy="5457825"/>
                          <a:chOff x="0" y="0"/>
                          <a:chExt cx="1847924" cy="4415790"/>
                        </a:xfrm>
                      </wpg:grpSpPr>
                      <wps:wsp>
                        <wps:cNvPr id="55" name="Freeform: Shape 55"/>
                        <wps:cNvSpPr/>
                        <wps:spPr>
                          <a:xfrm>
                            <a:off x="0" y="0"/>
                            <a:ext cx="350998" cy="1363980"/>
                          </a:xfrm>
                          <a:custGeom>
                            <a:avLst/>
                            <a:gdLst>
                              <a:gd name="connsiteX0" fmla="*/ 69058 w 350998"/>
                              <a:gd name="connsiteY0" fmla="*/ 0 h 1363980"/>
                              <a:gd name="connsiteX1" fmla="*/ 114778 w 350998"/>
                              <a:gd name="connsiteY1" fmla="*/ 15240 h 1363980"/>
                              <a:gd name="connsiteX2" fmla="*/ 160498 w 350998"/>
                              <a:gd name="connsiteY2" fmla="*/ 45720 h 1363980"/>
                              <a:gd name="connsiteX3" fmla="*/ 168118 w 350998"/>
                              <a:gd name="connsiteY3" fmla="*/ 68580 h 1363980"/>
                              <a:gd name="connsiteX4" fmla="*/ 152878 w 350998"/>
                              <a:gd name="connsiteY4" fmla="*/ 152400 h 1363980"/>
                              <a:gd name="connsiteX5" fmla="*/ 130018 w 350998"/>
                              <a:gd name="connsiteY5" fmla="*/ 228600 h 1363980"/>
                              <a:gd name="connsiteX6" fmla="*/ 114778 w 350998"/>
                              <a:gd name="connsiteY6" fmla="*/ 251460 h 1363980"/>
                              <a:gd name="connsiteX7" fmla="*/ 107158 w 350998"/>
                              <a:gd name="connsiteY7" fmla="*/ 274320 h 1363980"/>
                              <a:gd name="connsiteX8" fmla="*/ 69058 w 350998"/>
                              <a:gd name="connsiteY8" fmla="*/ 320040 h 1363980"/>
                              <a:gd name="connsiteX9" fmla="*/ 46198 w 350998"/>
                              <a:gd name="connsiteY9" fmla="*/ 434340 h 1363980"/>
                              <a:gd name="connsiteX10" fmla="*/ 30958 w 350998"/>
                              <a:gd name="connsiteY10" fmla="*/ 457200 h 1363980"/>
                              <a:gd name="connsiteX11" fmla="*/ 23338 w 350998"/>
                              <a:gd name="connsiteY11" fmla="*/ 502920 h 1363980"/>
                              <a:gd name="connsiteX12" fmla="*/ 8098 w 350998"/>
                              <a:gd name="connsiteY12" fmla="*/ 525780 h 1363980"/>
                              <a:gd name="connsiteX13" fmla="*/ 478 w 350998"/>
                              <a:gd name="connsiteY13" fmla="*/ 563880 h 1363980"/>
                              <a:gd name="connsiteX14" fmla="*/ 30958 w 350998"/>
                              <a:gd name="connsiteY14" fmla="*/ 670560 h 1363980"/>
                              <a:gd name="connsiteX15" fmla="*/ 53818 w 350998"/>
                              <a:gd name="connsiteY15" fmla="*/ 678180 h 1363980"/>
                              <a:gd name="connsiteX16" fmla="*/ 168118 w 350998"/>
                              <a:gd name="connsiteY16" fmla="*/ 678180 h 1363980"/>
                              <a:gd name="connsiteX17" fmla="*/ 213838 w 350998"/>
                              <a:gd name="connsiteY17" fmla="*/ 693420 h 1363980"/>
                              <a:gd name="connsiteX18" fmla="*/ 236698 w 350998"/>
                              <a:gd name="connsiteY18" fmla="*/ 739140 h 1363980"/>
                              <a:gd name="connsiteX19" fmla="*/ 259558 w 350998"/>
                              <a:gd name="connsiteY19" fmla="*/ 784860 h 1363980"/>
                              <a:gd name="connsiteX20" fmla="*/ 267178 w 350998"/>
                              <a:gd name="connsiteY20" fmla="*/ 1005840 h 1363980"/>
                              <a:gd name="connsiteX21" fmla="*/ 274798 w 350998"/>
                              <a:gd name="connsiteY21" fmla="*/ 1043940 h 1363980"/>
                              <a:gd name="connsiteX22" fmla="*/ 282418 w 350998"/>
                              <a:gd name="connsiteY22" fmla="*/ 1097280 h 1363980"/>
                              <a:gd name="connsiteX23" fmla="*/ 320518 w 350998"/>
                              <a:gd name="connsiteY23" fmla="*/ 1127760 h 1363980"/>
                              <a:gd name="connsiteX24" fmla="*/ 305278 w 350998"/>
                              <a:gd name="connsiteY24" fmla="*/ 1173480 h 1363980"/>
                              <a:gd name="connsiteX25" fmla="*/ 297658 w 350998"/>
                              <a:gd name="connsiteY25" fmla="*/ 1196340 h 1363980"/>
                              <a:gd name="connsiteX26" fmla="*/ 305278 w 350998"/>
                              <a:gd name="connsiteY26" fmla="*/ 1325880 h 1363980"/>
                              <a:gd name="connsiteX27" fmla="*/ 328138 w 350998"/>
                              <a:gd name="connsiteY27" fmla="*/ 1348740 h 1363980"/>
                              <a:gd name="connsiteX28" fmla="*/ 350998 w 350998"/>
                              <a:gd name="connsiteY28" fmla="*/ 1363980 h 136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50998" h="1363980">
                                <a:moveTo>
                                  <a:pt x="69058" y="0"/>
                                </a:moveTo>
                                <a:cubicBezTo>
                                  <a:pt x="84298" y="5080"/>
                                  <a:pt x="100410" y="8056"/>
                                  <a:pt x="114778" y="15240"/>
                                </a:cubicBezTo>
                                <a:cubicBezTo>
                                  <a:pt x="131161" y="23431"/>
                                  <a:pt x="160498" y="45720"/>
                                  <a:pt x="160498" y="45720"/>
                                </a:cubicBezTo>
                                <a:cubicBezTo>
                                  <a:pt x="163038" y="53340"/>
                                  <a:pt x="168118" y="60548"/>
                                  <a:pt x="168118" y="68580"/>
                                </a:cubicBezTo>
                                <a:cubicBezTo>
                                  <a:pt x="168118" y="125322"/>
                                  <a:pt x="163594" y="114893"/>
                                  <a:pt x="152878" y="152400"/>
                                </a:cubicBezTo>
                                <a:cubicBezTo>
                                  <a:pt x="147553" y="171036"/>
                                  <a:pt x="139072" y="215019"/>
                                  <a:pt x="130018" y="228600"/>
                                </a:cubicBezTo>
                                <a:cubicBezTo>
                                  <a:pt x="124938" y="236220"/>
                                  <a:pt x="118874" y="243269"/>
                                  <a:pt x="114778" y="251460"/>
                                </a:cubicBezTo>
                                <a:cubicBezTo>
                                  <a:pt x="111186" y="258644"/>
                                  <a:pt x="110750" y="267136"/>
                                  <a:pt x="107158" y="274320"/>
                                </a:cubicBezTo>
                                <a:cubicBezTo>
                                  <a:pt x="96549" y="295538"/>
                                  <a:pt x="85910" y="303188"/>
                                  <a:pt x="69058" y="320040"/>
                                </a:cubicBezTo>
                                <a:cubicBezTo>
                                  <a:pt x="66111" y="346564"/>
                                  <a:pt x="64209" y="407324"/>
                                  <a:pt x="46198" y="434340"/>
                                </a:cubicBezTo>
                                <a:lnTo>
                                  <a:pt x="30958" y="457200"/>
                                </a:lnTo>
                                <a:cubicBezTo>
                                  <a:pt x="28418" y="472440"/>
                                  <a:pt x="28224" y="488263"/>
                                  <a:pt x="23338" y="502920"/>
                                </a:cubicBezTo>
                                <a:cubicBezTo>
                                  <a:pt x="20442" y="511608"/>
                                  <a:pt x="11314" y="517205"/>
                                  <a:pt x="8098" y="525780"/>
                                </a:cubicBezTo>
                                <a:cubicBezTo>
                                  <a:pt x="3550" y="537907"/>
                                  <a:pt x="3018" y="551180"/>
                                  <a:pt x="478" y="563880"/>
                                </a:cubicBezTo>
                                <a:cubicBezTo>
                                  <a:pt x="6520" y="636388"/>
                                  <a:pt x="-16651" y="646756"/>
                                  <a:pt x="30958" y="670560"/>
                                </a:cubicBezTo>
                                <a:cubicBezTo>
                                  <a:pt x="38142" y="674152"/>
                                  <a:pt x="46198" y="675640"/>
                                  <a:pt x="53818" y="678180"/>
                                </a:cubicBezTo>
                                <a:cubicBezTo>
                                  <a:pt x="101342" y="662339"/>
                                  <a:pt x="85248" y="664368"/>
                                  <a:pt x="168118" y="678180"/>
                                </a:cubicBezTo>
                                <a:cubicBezTo>
                                  <a:pt x="183964" y="680821"/>
                                  <a:pt x="213838" y="693420"/>
                                  <a:pt x="213838" y="693420"/>
                                </a:cubicBezTo>
                                <a:cubicBezTo>
                                  <a:pt x="257514" y="758934"/>
                                  <a:pt x="205150" y="676044"/>
                                  <a:pt x="236698" y="739140"/>
                                </a:cubicBezTo>
                                <a:cubicBezTo>
                                  <a:pt x="266241" y="798226"/>
                                  <a:pt x="240405" y="727401"/>
                                  <a:pt x="259558" y="784860"/>
                                </a:cubicBezTo>
                                <a:cubicBezTo>
                                  <a:pt x="262098" y="858520"/>
                                  <a:pt x="262850" y="932263"/>
                                  <a:pt x="267178" y="1005840"/>
                                </a:cubicBezTo>
                                <a:cubicBezTo>
                                  <a:pt x="267939" y="1018769"/>
                                  <a:pt x="272669" y="1031165"/>
                                  <a:pt x="274798" y="1043940"/>
                                </a:cubicBezTo>
                                <a:cubicBezTo>
                                  <a:pt x="277751" y="1061656"/>
                                  <a:pt x="277257" y="1080077"/>
                                  <a:pt x="282418" y="1097280"/>
                                </a:cubicBezTo>
                                <a:cubicBezTo>
                                  <a:pt x="290077" y="1122811"/>
                                  <a:pt x="299526" y="1120763"/>
                                  <a:pt x="320518" y="1127760"/>
                                </a:cubicBezTo>
                                <a:lnTo>
                                  <a:pt x="305278" y="1173480"/>
                                </a:lnTo>
                                <a:lnTo>
                                  <a:pt x="297658" y="1196340"/>
                                </a:lnTo>
                                <a:cubicBezTo>
                                  <a:pt x="300198" y="1239520"/>
                                  <a:pt x="296795" y="1283465"/>
                                  <a:pt x="305278" y="1325880"/>
                                </a:cubicBezTo>
                                <a:cubicBezTo>
                                  <a:pt x="307391" y="1336447"/>
                                  <a:pt x="319859" y="1341841"/>
                                  <a:pt x="328138" y="1348740"/>
                                </a:cubicBezTo>
                                <a:cubicBezTo>
                                  <a:pt x="335173" y="1354603"/>
                                  <a:pt x="350998" y="1363980"/>
                                  <a:pt x="350998" y="1363980"/>
                                </a:cubicBezTo>
                              </a:path>
                            </a:pathLst>
                          </a:custGeom>
                          <a:noFill/>
                          <a:ln w="38100" cap="flat" cmpd="sng" algn="ctr">
                            <a:solidFill>
                              <a:srgbClr val="6F006E"/>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365760" y="1424940"/>
                            <a:ext cx="1138954" cy="2156460"/>
                          </a:xfrm>
                          <a:custGeom>
                            <a:avLst/>
                            <a:gdLst>
                              <a:gd name="connsiteX0" fmla="*/ 0 w 1138954"/>
                              <a:gd name="connsiteY0" fmla="*/ 0 h 2156460"/>
                              <a:gd name="connsiteX1" fmla="*/ 60960 w 1138954"/>
                              <a:gd name="connsiteY1" fmla="*/ 38100 h 2156460"/>
                              <a:gd name="connsiteX2" fmla="*/ 114300 w 1138954"/>
                              <a:gd name="connsiteY2" fmla="*/ 76200 h 2156460"/>
                              <a:gd name="connsiteX3" fmla="*/ 167640 w 1138954"/>
                              <a:gd name="connsiteY3" fmla="*/ 129540 h 2156460"/>
                              <a:gd name="connsiteX4" fmla="*/ 190500 w 1138954"/>
                              <a:gd name="connsiteY4" fmla="*/ 205740 h 2156460"/>
                              <a:gd name="connsiteX5" fmla="*/ 198120 w 1138954"/>
                              <a:gd name="connsiteY5" fmla="*/ 228600 h 2156460"/>
                              <a:gd name="connsiteX6" fmla="*/ 243840 w 1138954"/>
                              <a:gd name="connsiteY6" fmla="*/ 243840 h 2156460"/>
                              <a:gd name="connsiteX7" fmla="*/ 266700 w 1138954"/>
                              <a:gd name="connsiteY7" fmla="*/ 251460 h 2156460"/>
                              <a:gd name="connsiteX8" fmla="*/ 312420 w 1138954"/>
                              <a:gd name="connsiteY8" fmla="*/ 274320 h 2156460"/>
                              <a:gd name="connsiteX9" fmla="*/ 457200 w 1138954"/>
                              <a:gd name="connsiteY9" fmla="*/ 281940 h 2156460"/>
                              <a:gd name="connsiteX10" fmla="*/ 464820 w 1138954"/>
                              <a:gd name="connsiteY10" fmla="*/ 312420 h 2156460"/>
                              <a:gd name="connsiteX11" fmla="*/ 533400 w 1138954"/>
                              <a:gd name="connsiteY11" fmla="*/ 350520 h 2156460"/>
                              <a:gd name="connsiteX12" fmla="*/ 563880 w 1138954"/>
                              <a:gd name="connsiteY12" fmla="*/ 419100 h 2156460"/>
                              <a:gd name="connsiteX13" fmla="*/ 571500 w 1138954"/>
                              <a:gd name="connsiteY13" fmla="*/ 441960 h 2156460"/>
                              <a:gd name="connsiteX14" fmla="*/ 601980 w 1138954"/>
                              <a:gd name="connsiteY14" fmla="*/ 487680 h 2156460"/>
                              <a:gd name="connsiteX15" fmla="*/ 640080 w 1138954"/>
                              <a:gd name="connsiteY15" fmla="*/ 518160 h 2156460"/>
                              <a:gd name="connsiteX16" fmla="*/ 662940 w 1138954"/>
                              <a:gd name="connsiteY16" fmla="*/ 510540 h 2156460"/>
                              <a:gd name="connsiteX17" fmla="*/ 685800 w 1138954"/>
                              <a:gd name="connsiteY17" fmla="*/ 495300 h 2156460"/>
                              <a:gd name="connsiteX18" fmla="*/ 716280 w 1138954"/>
                              <a:gd name="connsiteY18" fmla="*/ 502920 h 2156460"/>
                              <a:gd name="connsiteX19" fmla="*/ 739140 w 1138954"/>
                              <a:gd name="connsiteY19" fmla="*/ 533400 h 2156460"/>
                              <a:gd name="connsiteX20" fmla="*/ 777240 w 1138954"/>
                              <a:gd name="connsiteY20" fmla="*/ 594360 h 2156460"/>
                              <a:gd name="connsiteX21" fmla="*/ 815340 w 1138954"/>
                              <a:gd name="connsiteY21" fmla="*/ 655320 h 2156460"/>
                              <a:gd name="connsiteX22" fmla="*/ 830580 w 1138954"/>
                              <a:gd name="connsiteY22" fmla="*/ 678180 h 2156460"/>
                              <a:gd name="connsiteX23" fmla="*/ 876300 w 1138954"/>
                              <a:gd name="connsiteY23" fmla="*/ 693420 h 2156460"/>
                              <a:gd name="connsiteX24" fmla="*/ 891540 w 1138954"/>
                              <a:gd name="connsiteY24" fmla="*/ 716280 h 2156460"/>
                              <a:gd name="connsiteX25" fmla="*/ 899160 w 1138954"/>
                              <a:gd name="connsiteY25" fmla="*/ 739140 h 2156460"/>
                              <a:gd name="connsiteX26" fmla="*/ 922020 w 1138954"/>
                              <a:gd name="connsiteY26" fmla="*/ 754380 h 2156460"/>
                              <a:gd name="connsiteX27" fmla="*/ 944880 w 1138954"/>
                              <a:gd name="connsiteY27" fmla="*/ 777240 h 2156460"/>
                              <a:gd name="connsiteX28" fmla="*/ 952500 w 1138954"/>
                              <a:gd name="connsiteY28" fmla="*/ 800100 h 2156460"/>
                              <a:gd name="connsiteX29" fmla="*/ 967740 w 1138954"/>
                              <a:gd name="connsiteY29" fmla="*/ 822960 h 2156460"/>
                              <a:gd name="connsiteX30" fmla="*/ 952500 w 1138954"/>
                              <a:gd name="connsiteY30" fmla="*/ 845820 h 2156460"/>
                              <a:gd name="connsiteX31" fmla="*/ 937260 w 1138954"/>
                              <a:gd name="connsiteY31" fmla="*/ 891540 h 2156460"/>
                              <a:gd name="connsiteX32" fmla="*/ 929640 w 1138954"/>
                              <a:gd name="connsiteY32" fmla="*/ 960120 h 2156460"/>
                              <a:gd name="connsiteX33" fmla="*/ 914400 w 1138954"/>
                              <a:gd name="connsiteY33" fmla="*/ 1013460 h 2156460"/>
                              <a:gd name="connsiteX34" fmla="*/ 922020 w 1138954"/>
                              <a:gd name="connsiteY34" fmla="*/ 1082040 h 2156460"/>
                              <a:gd name="connsiteX35" fmla="*/ 975360 w 1138954"/>
                              <a:gd name="connsiteY35" fmla="*/ 1143000 h 2156460"/>
                              <a:gd name="connsiteX36" fmla="*/ 998220 w 1138954"/>
                              <a:gd name="connsiteY36" fmla="*/ 1150620 h 2156460"/>
                              <a:gd name="connsiteX37" fmla="*/ 1013460 w 1138954"/>
                              <a:gd name="connsiteY37" fmla="*/ 1196340 h 2156460"/>
                              <a:gd name="connsiteX38" fmla="*/ 1021080 w 1138954"/>
                              <a:gd name="connsiteY38" fmla="*/ 1219200 h 2156460"/>
                              <a:gd name="connsiteX39" fmla="*/ 1028700 w 1138954"/>
                              <a:gd name="connsiteY39" fmla="*/ 1432560 h 2156460"/>
                              <a:gd name="connsiteX40" fmla="*/ 1043940 w 1138954"/>
                              <a:gd name="connsiteY40" fmla="*/ 1455420 h 2156460"/>
                              <a:gd name="connsiteX41" fmla="*/ 1051560 w 1138954"/>
                              <a:gd name="connsiteY41" fmla="*/ 1432560 h 2156460"/>
                              <a:gd name="connsiteX42" fmla="*/ 1059180 w 1138954"/>
                              <a:gd name="connsiteY42" fmla="*/ 1295400 h 2156460"/>
                              <a:gd name="connsiteX43" fmla="*/ 1082040 w 1138954"/>
                              <a:gd name="connsiteY43" fmla="*/ 1280160 h 2156460"/>
                              <a:gd name="connsiteX44" fmla="*/ 1074420 w 1138954"/>
                              <a:gd name="connsiteY44" fmla="*/ 1341120 h 2156460"/>
                              <a:gd name="connsiteX45" fmla="*/ 1066800 w 1138954"/>
                              <a:gd name="connsiteY45" fmla="*/ 1371600 h 2156460"/>
                              <a:gd name="connsiteX46" fmla="*/ 1059180 w 1138954"/>
                              <a:gd name="connsiteY46" fmla="*/ 1417320 h 2156460"/>
                              <a:gd name="connsiteX47" fmla="*/ 1066800 w 1138954"/>
                              <a:gd name="connsiteY47" fmla="*/ 1463040 h 2156460"/>
                              <a:gd name="connsiteX48" fmla="*/ 1051560 w 1138954"/>
                              <a:gd name="connsiteY48" fmla="*/ 1508760 h 2156460"/>
                              <a:gd name="connsiteX49" fmla="*/ 1028700 w 1138954"/>
                              <a:gd name="connsiteY49" fmla="*/ 1577340 h 2156460"/>
                              <a:gd name="connsiteX50" fmla="*/ 1021080 w 1138954"/>
                              <a:gd name="connsiteY50" fmla="*/ 1600200 h 2156460"/>
                              <a:gd name="connsiteX51" fmla="*/ 998220 w 1138954"/>
                              <a:gd name="connsiteY51" fmla="*/ 1607820 h 2156460"/>
                              <a:gd name="connsiteX52" fmla="*/ 982980 w 1138954"/>
                              <a:gd name="connsiteY52" fmla="*/ 1661160 h 2156460"/>
                              <a:gd name="connsiteX53" fmla="*/ 998220 w 1138954"/>
                              <a:gd name="connsiteY53" fmla="*/ 1722120 h 2156460"/>
                              <a:gd name="connsiteX54" fmla="*/ 1013460 w 1138954"/>
                              <a:gd name="connsiteY54" fmla="*/ 1744980 h 2156460"/>
                              <a:gd name="connsiteX55" fmla="*/ 1021080 w 1138954"/>
                              <a:gd name="connsiteY55" fmla="*/ 1798320 h 2156460"/>
                              <a:gd name="connsiteX56" fmla="*/ 1043940 w 1138954"/>
                              <a:gd name="connsiteY56" fmla="*/ 1874520 h 2156460"/>
                              <a:gd name="connsiteX57" fmla="*/ 1051560 w 1138954"/>
                              <a:gd name="connsiteY57" fmla="*/ 1897380 h 2156460"/>
                              <a:gd name="connsiteX58" fmla="*/ 1059180 w 1138954"/>
                              <a:gd name="connsiteY58" fmla="*/ 1927860 h 2156460"/>
                              <a:gd name="connsiteX59" fmla="*/ 1074420 w 1138954"/>
                              <a:gd name="connsiteY59" fmla="*/ 1973580 h 2156460"/>
                              <a:gd name="connsiteX60" fmla="*/ 1120140 w 1138954"/>
                              <a:gd name="connsiteY60" fmla="*/ 2004060 h 2156460"/>
                              <a:gd name="connsiteX61" fmla="*/ 1127760 w 1138954"/>
                              <a:gd name="connsiteY61" fmla="*/ 2133600 h 2156460"/>
                              <a:gd name="connsiteX62" fmla="*/ 1104900 w 1138954"/>
                              <a:gd name="connsiteY62" fmla="*/ 2148840 h 2156460"/>
                              <a:gd name="connsiteX63" fmla="*/ 1097280 w 1138954"/>
                              <a:gd name="connsiteY63" fmla="*/ 2156460 h 2156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1138954" h="2156460">
                                <a:moveTo>
                                  <a:pt x="0" y="0"/>
                                </a:moveTo>
                                <a:cubicBezTo>
                                  <a:pt x="22245" y="13347"/>
                                  <a:pt x="40436" y="23440"/>
                                  <a:pt x="60960" y="38100"/>
                                </a:cubicBezTo>
                                <a:cubicBezTo>
                                  <a:pt x="127121" y="85358"/>
                                  <a:pt x="60426" y="40284"/>
                                  <a:pt x="114300" y="76200"/>
                                </a:cubicBezTo>
                                <a:cubicBezTo>
                                  <a:pt x="133636" y="134207"/>
                                  <a:pt x="113788" y="118770"/>
                                  <a:pt x="167640" y="129540"/>
                                </a:cubicBezTo>
                                <a:cubicBezTo>
                                  <a:pt x="195440" y="171240"/>
                                  <a:pt x="176490" y="135692"/>
                                  <a:pt x="190500" y="205740"/>
                                </a:cubicBezTo>
                                <a:cubicBezTo>
                                  <a:pt x="192075" y="213616"/>
                                  <a:pt x="191584" y="223931"/>
                                  <a:pt x="198120" y="228600"/>
                                </a:cubicBezTo>
                                <a:cubicBezTo>
                                  <a:pt x="211192" y="237937"/>
                                  <a:pt x="228600" y="238760"/>
                                  <a:pt x="243840" y="243840"/>
                                </a:cubicBezTo>
                                <a:cubicBezTo>
                                  <a:pt x="251460" y="246380"/>
                                  <a:pt x="260017" y="247005"/>
                                  <a:pt x="266700" y="251460"/>
                                </a:cubicBezTo>
                                <a:cubicBezTo>
                                  <a:pt x="281098" y="261058"/>
                                  <a:pt x="294155" y="272660"/>
                                  <a:pt x="312420" y="274320"/>
                                </a:cubicBezTo>
                                <a:cubicBezTo>
                                  <a:pt x="360548" y="278695"/>
                                  <a:pt x="408940" y="279400"/>
                                  <a:pt x="457200" y="281940"/>
                                </a:cubicBezTo>
                                <a:cubicBezTo>
                                  <a:pt x="459740" y="292100"/>
                                  <a:pt x="457924" y="304538"/>
                                  <a:pt x="464820" y="312420"/>
                                </a:cubicBezTo>
                                <a:cubicBezTo>
                                  <a:pt x="486398" y="337080"/>
                                  <a:pt x="506682" y="341614"/>
                                  <a:pt x="533400" y="350520"/>
                                </a:cubicBezTo>
                                <a:cubicBezTo>
                                  <a:pt x="557551" y="386746"/>
                                  <a:pt x="545744" y="364692"/>
                                  <a:pt x="563880" y="419100"/>
                                </a:cubicBezTo>
                                <a:cubicBezTo>
                                  <a:pt x="566420" y="426720"/>
                                  <a:pt x="567045" y="435277"/>
                                  <a:pt x="571500" y="441960"/>
                                </a:cubicBezTo>
                                <a:lnTo>
                                  <a:pt x="601980" y="487680"/>
                                </a:lnTo>
                                <a:cubicBezTo>
                                  <a:pt x="621675" y="517223"/>
                                  <a:pt x="608532" y="507644"/>
                                  <a:pt x="640080" y="518160"/>
                                </a:cubicBezTo>
                                <a:cubicBezTo>
                                  <a:pt x="647700" y="515620"/>
                                  <a:pt x="655756" y="514132"/>
                                  <a:pt x="662940" y="510540"/>
                                </a:cubicBezTo>
                                <a:cubicBezTo>
                                  <a:pt x="671131" y="506444"/>
                                  <a:pt x="676734" y="496595"/>
                                  <a:pt x="685800" y="495300"/>
                                </a:cubicBezTo>
                                <a:cubicBezTo>
                                  <a:pt x="696167" y="493819"/>
                                  <a:pt x="706120" y="500380"/>
                                  <a:pt x="716280" y="502920"/>
                                </a:cubicBezTo>
                                <a:cubicBezTo>
                                  <a:pt x="723900" y="513080"/>
                                  <a:pt x="733460" y="522041"/>
                                  <a:pt x="739140" y="533400"/>
                                </a:cubicBezTo>
                                <a:cubicBezTo>
                                  <a:pt x="770878" y="596876"/>
                                  <a:pt x="733259" y="565040"/>
                                  <a:pt x="777240" y="594360"/>
                                </a:cubicBezTo>
                                <a:cubicBezTo>
                                  <a:pt x="795376" y="648768"/>
                                  <a:pt x="779114" y="631169"/>
                                  <a:pt x="815340" y="655320"/>
                                </a:cubicBezTo>
                                <a:cubicBezTo>
                                  <a:pt x="820420" y="662940"/>
                                  <a:pt x="822814" y="673326"/>
                                  <a:pt x="830580" y="678180"/>
                                </a:cubicBezTo>
                                <a:cubicBezTo>
                                  <a:pt x="844203" y="686694"/>
                                  <a:pt x="876300" y="693420"/>
                                  <a:pt x="876300" y="693420"/>
                                </a:cubicBezTo>
                                <a:cubicBezTo>
                                  <a:pt x="881380" y="701040"/>
                                  <a:pt x="887444" y="708089"/>
                                  <a:pt x="891540" y="716280"/>
                                </a:cubicBezTo>
                                <a:cubicBezTo>
                                  <a:pt x="895132" y="723464"/>
                                  <a:pt x="894142" y="732868"/>
                                  <a:pt x="899160" y="739140"/>
                                </a:cubicBezTo>
                                <a:cubicBezTo>
                                  <a:pt x="904881" y="746291"/>
                                  <a:pt x="914985" y="748517"/>
                                  <a:pt x="922020" y="754380"/>
                                </a:cubicBezTo>
                                <a:cubicBezTo>
                                  <a:pt x="930299" y="761279"/>
                                  <a:pt x="937260" y="769620"/>
                                  <a:pt x="944880" y="777240"/>
                                </a:cubicBezTo>
                                <a:cubicBezTo>
                                  <a:pt x="947420" y="784860"/>
                                  <a:pt x="948908" y="792916"/>
                                  <a:pt x="952500" y="800100"/>
                                </a:cubicBezTo>
                                <a:cubicBezTo>
                                  <a:pt x="956596" y="808291"/>
                                  <a:pt x="967740" y="813802"/>
                                  <a:pt x="967740" y="822960"/>
                                </a:cubicBezTo>
                                <a:cubicBezTo>
                                  <a:pt x="967740" y="832118"/>
                                  <a:pt x="956219" y="837451"/>
                                  <a:pt x="952500" y="845820"/>
                                </a:cubicBezTo>
                                <a:cubicBezTo>
                                  <a:pt x="945976" y="860500"/>
                                  <a:pt x="937260" y="891540"/>
                                  <a:pt x="937260" y="891540"/>
                                </a:cubicBezTo>
                                <a:cubicBezTo>
                                  <a:pt x="934720" y="914400"/>
                                  <a:pt x="933137" y="937387"/>
                                  <a:pt x="929640" y="960120"/>
                                </a:cubicBezTo>
                                <a:cubicBezTo>
                                  <a:pt x="926906" y="977889"/>
                                  <a:pt x="920090" y="996390"/>
                                  <a:pt x="914400" y="1013460"/>
                                </a:cubicBezTo>
                                <a:cubicBezTo>
                                  <a:pt x="916940" y="1036320"/>
                                  <a:pt x="914747" y="1060220"/>
                                  <a:pt x="922020" y="1082040"/>
                                </a:cubicBezTo>
                                <a:cubicBezTo>
                                  <a:pt x="931164" y="1109472"/>
                                  <a:pt x="950468" y="1130554"/>
                                  <a:pt x="975360" y="1143000"/>
                                </a:cubicBezTo>
                                <a:cubicBezTo>
                                  <a:pt x="982544" y="1146592"/>
                                  <a:pt x="990600" y="1148080"/>
                                  <a:pt x="998220" y="1150620"/>
                                </a:cubicBezTo>
                                <a:lnTo>
                                  <a:pt x="1013460" y="1196340"/>
                                </a:lnTo>
                                <a:lnTo>
                                  <a:pt x="1021080" y="1219200"/>
                                </a:lnTo>
                                <a:cubicBezTo>
                                  <a:pt x="1023620" y="1290320"/>
                                  <a:pt x="1021845" y="1361726"/>
                                  <a:pt x="1028700" y="1432560"/>
                                </a:cubicBezTo>
                                <a:cubicBezTo>
                                  <a:pt x="1029582" y="1441676"/>
                                  <a:pt x="1034782" y="1455420"/>
                                  <a:pt x="1043940" y="1455420"/>
                                </a:cubicBezTo>
                                <a:cubicBezTo>
                                  <a:pt x="1051972" y="1455420"/>
                                  <a:pt x="1049020" y="1440180"/>
                                  <a:pt x="1051560" y="1432560"/>
                                </a:cubicBezTo>
                                <a:cubicBezTo>
                                  <a:pt x="1037801" y="1377523"/>
                                  <a:pt x="1033634" y="1377147"/>
                                  <a:pt x="1059180" y="1295400"/>
                                </a:cubicBezTo>
                                <a:cubicBezTo>
                                  <a:pt x="1061912" y="1286659"/>
                                  <a:pt x="1074420" y="1285240"/>
                                  <a:pt x="1082040" y="1280160"/>
                                </a:cubicBezTo>
                                <a:cubicBezTo>
                                  <a:pt x="1079500" y="1300480"/>
                                  <a:pt x="1077787" y="1320920"/>
                                  <a:pt x="1074420" y="1341120"/>
                                </a:cubicBezTo>
                                <a:cubicBezTo>
                                  <a:pt x="1072698" y="1351450"/>
                                  <a:pt x="1068854" y="1361331"/>
                                  <a:pt x="1066800" y="1371600"/>
                                </a:cubicBezTo>
                                <a:cubicBezTo>
                                  <a:pt x="1063770" y="1386750"/>
                                  <a:pt x="1061720" y="1402080"/>
                                  <a:pt x="1059180" y="1417320"/>
                                </a:cubicBezTo>
                                <a:cubicBezTo>
                                  <a:pt x="1061720" y="1432560"/>
                                  <a:pt x="1068083" y="1447643"/>
                                  <a:pt x="1066800" y="1463040"/>
                                </a:cubicBezTo>
                                <a:cubicBezTo>
                                  <a:pt x="1065466" y="1479049"/>
                                  <a:pt x="1056640" y="1493520"/>
                                  <a:pt x="1051560" y="1508760"/>
                                </a:cubicBezTo>
                                <a:lnTo>
                                  <a:pt x="1028700" y="1577340"/>
                                </a:lnTo>
                                <a:cubicBezTo>
                                  <a:pt x="1026160" y="1584960"/>
                                  <a:pt x="1028700" y="1597660"/>
                                  <a:pt x="1021080" y="1600200"/>
                                </a:cubicBezTo>
                                <a:lnTo>
                                  <a:pt x="998220" y="1607820"/>
                                </a:lnTo>
                                <a:cubicBezTo>
                                  <a:pt x="994627" y="1618600"/>
                                  <a:pt x="982980" y="1651592"/>
                                  <a:pt x="982980" y="1661160"/>
                                </a:cubicBezTo>
                                <a:cubicBezTo>
                                  <a:pt x="982980" y="1669855"/>
                                  <a:pt x="992207" y="1710094"/>
                                  <a:pt x="998220" y="1722120"/>
                                </a:cubicBezTo>
                                <a:cubicBezTo>
                                  <a:pt x="1002316" y="1730311"/>
                                  <a:pt x="1008380" y="1737360"/>
                                  <a:pt x="1013460" y="1744980"/>
                                </a:cubicBezTo>
                                <a:cubicBezTo>
                                  <a:pt x="1016000" y="1762760"/>
                                  <a:pt x="1017867" y="1780649"/>
                                  <a:pt x="1021080" y="1798320"/>
                                </a:cubicBezTo>
                                <a:cubicBezTo>
                                  <a:pt x="1025686" y="1823656"/>
                                  <a:pt x="1035987" y="1850662"/>
                                  <a:pt x="1043940" y="1874520"/>
                                </a:cubicBezTo>
                                <a:cubicBezTo>
                                  <a:pt x="1046480" y="1882140"/>
                                  <a:pt x="1049612" y="1889588"/>
                                  <a:pt x="1051560" y="1897380"/>
                                </a:cubicBezTo>
                                <a:cubicBezTo>
                                  <a:pt x="1054100" y="1907540"/>
                                  <a:pt x="1056171" y="1917829"/>
                                  <a:pt x="1059180" y="1927860"/>
                                </a:cubicBezTo>
                                <a:cubicBezTo>
                                  <a:pt x="1063796" y="1943247"/>
                                  <a:pt x="1061054" y="1964669"/>
                                  <a:pt x="1074420" y="1973580"/>
                                </a:cubicBezTo>
                                <a:lnTo>
                                  <a:pt x="1120140" y="2004060"/>
                                </a:lnTo>
                                <a:cubicBezTo>
                                  <a:pt x="1137809" y="2057066"/>
                                  <a:pt x="1148087" y="2067538"/>
                                  <a:pt x="1127760" y="2133600"/>
                                </a:cubicBezTo>
                                <a:cubicBezTo>
                                  <a:pt x="1125067" y="2142353"/>
                                  <a:pt x="1112226" y="2143345"/>
                                  <a:pt x="1104900" y="2148840"/>
                                </a:cubicBezTo>
                                <a:cubicBezTo>
                                  <a:pt x="1102026" y="2150995"/>
                                  <a:pt x="1099820" y="2153920"/>
                                  <a:pt x="1097280" y="2156460"/>
                                </a:cubicBezTo>
                              </a:path>
                            </a:pathLst>
                          </a:custGeom>
                          <a:noFill/>
                          <a:ln w="25400" cap="flat" cmpd="sng" algn="ctr">
                            <a:solidFill>
                              <a:srgbClr val="2314D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1428750" y="3592830"/>
                            <a:ext cx="419174" cy="822960"/>
                          </a:xfrm>
                          <a:custGeom>
                            <a:avLst/>
                            <a:gdLst>
                              <a:gd name="connsiteX0" fmla="*/ 15314 w 419174"/>
                              <a:gd name="connsiteY0" fmla="*/ 0 h 822960"/>
                              <a:gd name="connsiteX1" fmla="*/ 7694 w 419174"/>
                              <a:gd name="connsiteY1" fmla="*/ 76200 h 822960"/>
                              <a:gd name="connsiteX2" fmla="*/ 74 w 419174"/>
                              <a:gd name="connsiteY2" fmla="*/ 114300 h 822960"/>
                              <a:gd name="connsiteX3" fmla="*/ 7694 w 419174"/>
                              <a:gd name="connsiteY3" fmla="*/ 304800 h 822960"/>
                              <a:gd name="connsiteX4" fmla="*/ 76274 w 419174"/>
                              <a:gd name="connsiteY4" fmla="*/ 342900 h 822960"/>
                              <a:gd name="connsiteX5" fmla="*/ 99134 w 419174"/>
                              <a:gd name="connsiteY5" fmla="*/ 350520 h 822960"/>
                              <a:gd name="connsiteX6" fmla="*/ 121994 w 419174"/>
                              <a:gd name="connsiteY6" fmla="*/ 358140 h 822960"/>
                              <a:gd name="connsiteX7" fmla="*/ 144854 w 419174"/>
                              <a:gd name="connsiteY7" fmla="*/ 419100 h 822960"/>
                              <a:gd name="connsiteX8" fmla="*/ 160094 w 419174"/>
                              <a:gd name="connsiteY8" fmla="*/ 441960 h 822960"/>
                              <a:gd name="connsiteX9" fmla="*/ 167714 w 419174"/>
                              <a:gd name="connsiteY9" fmla="*/ 464820 h 822960"/>
                              <a:gd name="connsiteX10" fmla="*/ 190574 w 419174"/>
                              <a:gd name="connsiteY10" fmla="*/ 472440 h 822960"/>
                              <a:gd name="connsiteX11" fmla="*/ 221054 w 419174"/>
                              <a:gd name="connsiteY11" fmla="*/ 502920 h 822960"/>
                              <a:gd name="connsiteX12" fmla="*/ 236294 w 419174"/>
                              <a:gd name="connsiteY12" fmla="*/ 525780 h 822960"/>
                              <a:gd name="connsiteX13" fmla="*/ 259154 w 419174"/>
                              <a:gd name="connsiteY13" fmla="*/ 541020 h 822960"/>
                              <a:gd name="connsiteX14" fmla="*/ 289634 w 419174"/>
                              <a:gd name="connsiteY14" fmla="*/ 632460 h 822960"/>
                              <a:gd name="connsiteX15" fmla="*/ 297254 w 419174"/>
                              <a:gd name="connsiteY15" fmla="*/ 655320 h 822960"/>
                              <a:gd name="connsiteX16" fmla="*/ 312494 w 419174"/>
                              <a:gd name="connsiteY16" fmla="*/ 678180 h 822960"/>
                              <a:gd name="connsiteX17" fmla="*/ 327734 w 419174"/>
                              <a:gd name="connsiteY17" fmla="*/ 723900 h 822960"/>
                              <a:gd name="connsiteX18" fmla="*/ 342974 w 419174"/>
                              <a:gd name="connsiteY18" fmla="*/ 746760 h 822960"/>
                              <a:gd name="connsiteX19" fmla="*/ 350594 w 419174"/>
                              <a:gd name="connsiteY19" fmla="*/ 769620 h 822960"/>
                              <a:gd name="connsiteX20" fmla="*/ 396314 w 419174"/>
                              <a:gd name="connsiteY20" fmla="*/ 800100 h 822960"/>
                              <a:gd name="connsiteX21" fmla="*/ 419174 w 419174"/>
                              <a:gd name="connsiteY21" fmla="*/ 807720 h 822960"/>
                              <a:gd name="connsiteX22" fmla="*/ 419174 w 419174"/>
                              <a:gd name="connsiteY22" fmla="*/ 822960 h 822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19174" h="822960">
                                <a:moveTo>
                                  <a:pt x="15314" y="0"/>
                                </a:moveTo>
                                <a:cubicBezTo>
                                  <a:pt x="12774" y="25400"/>
                                  <a:pt x="11068" y="50897"/>
                                  <a:pt x="7694" y="76200"/>
                                </a:cubicBezTo>
                                <a:cubicBezTo>
                                  <a:pt x="5982" y="89038"/>
                                  <a:pt x="74" y="101348"/>
                                  <a:pt x="74" y="114300"/>
                                </a:cubicBezTo>
                                <a:cubicBezTo>
                                  <a:pt x="74" y="177851"/>
                                  <a:pt x="-1293" y="241888"/>
                                  <a:pt x="7694" y="304800"/>
                                </a:cubicBezTo>
                                <a:cubicBezTo>
                                  <a:pt x="11116" y="328753"/>
                                  <a:pt x="66241" y="339556"/>
                                  <a:pt x="76274" y="342900"/>
                                </a:cubicBezTo>
                                <a:lnTo>
                                  <a:pt x="99134" y="350520"/>
                                </a:lnTo>
                                <a:lnTo>
                                  <a:pt x="121994" y="358140"/>
                                </a:lnTo>
                                <a:cubicBezTo>
                                  <a:pt x="157735" y="411751"/>
                                  <a:pt x="116606" y="343772"/>
                                  <a:pt x="144854" y="419100"/>
                                </a:cubicBezTo>
                                <a:cubicBezTo>
                                  <a:pt x="148070" y="427675"/>
                                  <a:pt x="155998" y="433769"/>
                                  <a:pt x="160094" y="441960"/>
                                </a:cubicBezTo>
                                <a:cubicBezTo>
                                  <a:pt x="163686" y="449144"/>
                                  <a:pt x="162034" y="459140"/>
                                  <a:pt x="167714" y="464820"/>
                                </a:cubicBezTo>
                                <a:cubicBezTo>
                                  <a:pt x="173394" y="470500"/>
                                  <a:pt x="182954" y="469900"/>
                                  <a:pt x="190574" y="472440"/>
                                </a:cubicBezTo>
                                <a:cubicBezTo>
                                  <a:pt x="207199" y="522316"/>
                                  <a:pt x="184109" y="473364"/>
                                  <a:pt x="221054" y="502920"/>
                                </a:cubicBezTo>
                                <a:cubicBezTo>
                                  <a:pt x="228205" y="508641"/>
                                  <a:pt x="229818" y="519304"/>
                                  <a:pt x="236294" y="525780"/>
                                </a:cubicBezTo>
                                <a:cubicBezTo>
                                  <a:pt x="242770" y="532256"/>
                                  <a:pt x="251534" y="535940"/>
                                  <a:pt x="259154" y="541020"/>
                                </a:cubicBezTo>
                                <a:lnTo>
                                  <a:pt x="289634" y="632460"/>
                                </a:lnTo>
                                <a:cubicBezTo>
                                  <a:pt x="292174" y="640080"/>
                                  <a:pt x="292799" y="648637"/>
                                  <a:pt x="297254" y="655320"/>
                                </a:cubicBezTo>
                                <a:cubicBezTo>
                                  <a:pt x="302334" y="662940"/>
                                  <a:pt x="308775" y="669811"/>
                                  <a:pt x="312494" y="678180"/>
                                </a:cubicBezTo>
                                <a:cubicBezTo>
                                  <a:pt x="319018" y="692860"/>
                                  <a:pt x="318823" y="710534"/>
                                  <a:pt x="327734" y="723900"/>
                                </a:cubicBezTo>
                                <a:cubicBezTo>
                                  <a:pt x="332814" y="731520"/>
                                  <a:pt x="338878" y="738569"/>
                                  <a:pt x="342974" y="746760"/>
                                </a:cubicBezTo>
                                <a:cubicBezTo>
                                  <a:pt x="346566" y="753944"/>
                                  <a:pt x="344914" y="763940"/>
                                  <a:pt x="350594" y="769620"/>
                                </a:cubicBezTo>
                                <a:cubicBezTo>
                                  <a:pt x="363546" y="782572"/>
                                  <a:pt x="378938" y="794308"/>
                                  <a:pt x="396314" y="800100"/>
                                </a:cubicBezTo>
                                <a:cubicBezTo>
                                  <a:pt x="403934" y="802640"/>
                                  <a:pt x="413494" y="802040"/>
                                  <a:pt x="419174" y="807720"/>
                                </a:cubicBezTo>
                                <a:lnTo>
                                  <a:pt x="419174" y="822960"/>
                                </a:lnTo>
                              </a:path>
                            </a:pathLst>
                          </a:custGeom>
                          <a:noFill/>
                          <a:ln w="25400" cap="flat" cmpd="sng" algn="ctr">
                            <a:solidFill>
                              <a:srgbClr val="FFA01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9D474E" id="Group 6153" o:spid="_x0000_s1026" style="position:absolute;margin-left:118.05pt;margin-top:6pt;width:179.25pt;height:429.75pt;z-index:251660288;mso-width-relative:margin;mso-height-relative:margin" coordsize="18479,44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">
                <v:shape id="Freeform: Shape 55" o:spid="_x0000_s1027" style="position:absolute;width:3509;height:13639;visibility:visible;mso-wrap-style:square;v-text-anchor:middle" coordsize="350998,13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" path="m69058,v15240,5080,31352,8056,45720,15240c131161,23431,160498,45720,160498,45720v2540,7620,7620,14828,7620,22860c168118,125322,163594,114893,152878,152400v-5325,18636,-13806,62619,-22860,76200c124938,236220,118874,243269,114778,251460v-3592,7184,-4028,15676,-7620,22860c96549,295538,85910,303188,69058,320040v-2947,26524,-4849,87284,-22860,114300l30958,457200v-2540,15240,-2734,31063,-7620,45720c20442,511608,11314,517205,8098,525780,3550,537907,3018,551180,478,563880v6042,72508,-17129,82876,30480,106680c38142,674152,46198,675640,53818,678180v47524,-15841,31430,-13812,114300,c183964,680821,213838,693420,213838,693420v43676,65514,-8688,-17376,22860,45720c266241,798226,240405,727401,259558,784860v2540,73660,3292,147403,7620,220980c267939,1018769,272669,1031165,274798,1043940v2953,17716,2459,36137,7620,53340c290077,1122811,299526,1120763,320518,1127760r-15240,45720l297658,1196340v2540,43180,-863,87125,7620,129540c307391,1336447,319859,1341841,328138,1348740v7035,5863,22860,15240,22860,15240e" filled="f" strokecolor="#6f006e" strokeweight="3pt">
                  <v:shadow on="t" color="black" opacity="22937f" origin=",.5" offset="0,.63889mm"/>
                  <v:path arrowok="t" o:connecttype="custom" o:connectlocs="69058,0;114778,15240;160498,45720;168118,68580;152878,152400;130018,228600;114778,251460;107158,274320;69058,320040;46198,434340;30958,457200;23338,502920;8098,525780;478,563880;30958,670560;53818,678180;168118,678180;213838,693420;236698,739140;259558,784860;267178,1005840;274798,1043940;282418,1097280;320518,1127760;305278,1173480;297658,1196340;305278,1325880;328138,1348740;350998,1363980" o:connectangles="0,0,0,0,0,0,0,0,0,0,0,0,0,0,0,0,0,0,0,0,0,0,0,0,0,0,0,0,0"/>
                </v:shape>
                <v:shape id="Freeform: Shape 56" o:spid="_x0000_s1028" style="position:absolute;left:3657;top:14249;width:11390;height:21565;visibility:visible;mso-wrap-style:square;v-text-anchor:middle" coordsize="1138954,215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" path="m,c22245,13347,40436,23440,60960,38100v66161,47258,-534,2184,53340,38100c133636,134207,113788,118770,167640,129540v27800,41700,8850,6152,22860,76200c192075,213616,191584,223931,198120,228600v13072,9337,30480,10160,45720,15240c251460,246380,260017,247005,266700,251460v14398,9598,27455,21200,45720,22860c360548,278695,408940,279400,457200,281940v2540,10160,724,22598,7620,30480c486398,337080,506682,341614,533400,350520v24151,36226,12344,14172,30480,68580c566420,426720,567045,435277,571500,441960r30480,45720c621675,517223,608532,507644,640080,518160v7620,-2540,15676,-4028,22860,-7620c671131,506444,676734,496595,685800,495300v10367,-1481,20320,5080,30480,7620c723900,513080,733460,522041,739140,533400v31738,63476,-5881,31640,38100,60960c795376,648768,779114,631169,815340,655320v5080,7620,7474,18006,15240,22860c844203,686694,876300,693420,876300,693420v5080,7620,11144,14669,15240,22860c895132,723464,894142,732868,899160,739140v5721,7151,15825,9377,22860,15240c930299,761279,937260,769620,944880,777240v2540,7620,4028,15676,7620,22860c956596,808291,967740,813802,967740,822960v,9158,-11521,14491,-15240,22860c945976,860500,937260,891540,937260,891540v-2540,22860,-4123,45847,-7620,68580c926906,977889,920090,996390,914400,1013460v2540,22860,347,46760,7620,68580c931164,1109472,950468,1130554,975360,1143000v7184,3592,15240,5080,22860,7620l1013460,1196340r7620,22860c1023620,1290320,1021845,1361726,1028700,1432560v882,9116,6082,22860,15240,22860c1051972,1455420,1049020,1440180,1051560,1432560v-13759,-55037,-17926,-55413,7620,-137160c1061912,1286659,1074420,1285240,1082040,1280160v-2540,20320,-4253,40760,-7620,60960c1072698,1351450,1068854,1361331,1066800,1371600v-3030,15150,-5080,30480,-7620,45720c1061720,1432560,1068083,1447643,1066800,1463040v-1334,16009,-10160,30480,-15240,45720l1028700,1577340v-2540,7620,,20320,-7620,22860l998220,1607820v-3593,10780,-15240,43772,-15240,53340c982980,1669855,992207,1710094,998220,1722120v4096,8191,10160,15240,15240,22860c1016000,1762760,1017867,1780649,1021080,1798320v4606,25336,14907,52342,22860,76200c1046480,1882140,1049612,1889588,1051560,1897380v2540,10160,4611,20449,7620,30480c1063796,1943247,1061054,1964669,1074420,1973580r45720,30480c1137809,2057066,1148087,2067538,1127760,2133600v-2693,8753,-15534,9745,-22860,15240c1102026,2150995,1099820,2153920,1097280,2156460e" filled="f" strokecolor="#170ba1" strokeweight="2pt">
                  <v:path arrowok="t" o:connecttype="custom" o:connectlocs="0,0;60960,38100;114300,76200;167640,129540;190500,205740;198120,228600;243840,243840;266700,251460;312420,274320;457200,281940;464820,312420;533400,350520;563880,419100;571500,441960;601980,487680;640080,518160;662940,510540;685800,495300;716280,502920;739140,533400;777240,594360;815340,655320;830580,678180;876300,693420;891540,716280;899160,739140;922020,754380;944880,777240;952500,800100;967740,822960;952500,845820;937260,891540;929640,960120;914400,1013460;922020,1082040;975360,1143000;998220,1150620;1013460,1196340;1021080,1219200;1028700,1432560;1043940,1455420;1051560,1432560;1059180,1295400;1082040,1280160;1074420,1341120;1066800,1371600;1059180,1417320;1066800,1463040;1051560,1508760;1028700,1577340;1021080,1600200;998220,1607820;982980,1661160;998220,1722120;1013460,1744980;1021080,1798320;1043940,1874520;1051560,1897380;1059180,1927860;1074420,1973580;1120140,2004060;1127760,2133600;1104900,2148840;1097280,2156460" o:connectangles="0,0,0,0,0,0,0,0,0,0,0,0,0,0,0,0,0,0,0,0,0,0,0,0,0,0,0,0,0,0,0,0,0,0,0,0,0,0,0,0,0,0,0,0,0,0,0,0,0,0,0,0,0,0,0,0,0,0,0,0,0,0,0,0"/>
                </v:shape>
                <v:shape id="Freeform: Shape 57" o:spid="_x0000_s1029" style="position:absolute;left:14287;top:35928;width:4192;height:8229;visibility:visible;mso-wrap-style:square;v-text-anchor:middle" coordsize="419174,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" path="m15314,c12774,25400,11068,50897,7694,76200,5982,89038,74,101348,74,114300v,63551,-1367,127588,7620,190500c11116,328753,66241,339556,76274,342900r22860,7620l121994,358140v35741,53611,-5388,-14368,22860,60960c148070,427675,155998,433769,160094,441960v3592,7184,1940,17180,7620,22860c173394,470500,182954,469900,190574,472440v16625,49876,-6465,924,30480,30480c228205,508641,229818,519304,236294,525780v6476,6476,15240,10160,22860,15240l289634,632460v2540,7620,3165,16177,7620,22860c302334,662940,308775,669811,312494,678180v6524,14680,6329,32354,15240,45720c332814,731520,338878,738569,342974,746760v3592,7184,1940,17180,7620,22860c363546,782572,378938,794308,396314,800100v7620,2540,17180,1940,22860,7620l419174,822960e" filled="f" strokecolor="#ffa014" strokeweight="2pt">
                  <v:shadow on="t" color="black" opacity="24903f" origin=",.5" offset="0,.55556mm"/>
                  <v:path arrowok="t" o:connecttype="custom" o:connectlocs="15314,0;7694,76200;74,114300;7694,304800;76274,342900;99134,350520;121994,358140;144854,419100;160094,441960;167714,464820;190574,472440;221054,502920;236294,525780;259154,541020;289634,632460;297254,655320;312494,678180;327734,723900;342974,746760;350594,769620;396314,800100;419174,807720;419174,822960" o:connectangles="0,0,0,0,0,0,0,0,0,0,0,0,0,0,0,0,0,0,0,0,0,0,0"/>
                </v:shape>
              </v:group>
            </w:pict>
          </mc:Fallback>
        </mc:AlternateContent>
      </w:r>
      <w:r w:rsidR="00230C0B">
        <w:rPr>
          <w:noProof/>
        </w:rPr>
        <w:drawing>
          <wp:inline distT="0" distB="0" distL="0" distR="0" wp14:anchorId="67CB2741" wp14:editId="017EC383">
            <wp:extent cx="5991225" cy="55514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993719" cy="5553774"/>
                    </a:xfrm>
                    <a:prstGeom prst="rect">
                      <a:avLst/>
                    </a:prstGeom>
                  </pic:spPr>
                </pic:pic>
              </a:graphicData>
            </a:graphic>
          </wp:inline>
        </w:drawing>
      </w:r>
    </w:p>
    <w:p w14:paraId="38402C13" w14:textId="5240E684" w:rsidR="00230C0B" w:rsidRDefault="00252BBF" w:rsidP="00230C0B">
      <w:pPr>
        <w:pStyle w:val="Caption"/>
      </w:pPr>
      <w:bookmarkStart w:id="14" w:name="_Ref42591723"/>
      <w:bookmarkStart w:id="15" w:name="_Ref42591717"/>
      <w:r>
        <w:t>Figure</w:t>
      </w:r>
      <w:r w:rsidR="00230C0B">
        <w:t xml:space="preserve"> </w:t>
      </w:r>
      <w:r w:rsidR="00E67EC2">
        <w:fldChar w:fldCharType="begin"/>
      </w:r>
      <w:r w:rsidR="00E67EC2">
        <w:instrText xml:space="preserve"> STYLEREF 1 \s </w:instrText>
      </w:r>
      <w:r w:rsidR="00E67EC2">
        <w:fldChar w:fldCharType="separate"/>
      </w:r>
      <w:r w:rsidR="00BE5F47">
        <w:rPr>
          <w:noProof/>
        </w:rPr>
        <w:t>2</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2</w:t>
      </w:r>
      <w:r w:rsidR="00E67EC2">
        <w:fldChar w:fldCharType="end"/>
      </w:r>
      <w:bookmarkEnd w:id="14"/>
      <w:r w:rsidR="00230C0B">
        <w:t xml:space="preserve"> Aerial image of PSP area showing PSP outfalls, and study reaches</w:t>
      </w:r>
      <w:bookmarkEnd w:id="15"/>
    </w:p>
    <w:p w14:paraId="21B08088" w14:textId="3480C0AE" w:rsidR="00704337" w:rsidRDefault="00704337" w:rsidP="00704337">
      <w:pPr>
        <w:pStyle w:val="Para0"/>
      </w:pPr>
      <w:bookmarkStart w:id="16" w:name="_Ref42591653"/>
      <w:r>
        <w:t xml:space="preserve">Planning for each PSP includes development of drainage and stormwater management plans and treatment measures, which are designed to manage potential flooding and ecological risks. </w:t>
      </w:r>
      <w:r w:rsidR="00EE1377">
        <w:t xml:space="preserve"> More details of each PSP, including drainage design intents, are provided in the following sections.</w:t>
      </w:r>
    </w:p>
    <w:p w14:paraId="51BB5A1D" w14:textId="5BF9C76E" w:rsidR="00270DFC" w:rsidRDefault="00270DFC" w:rsidP="00270DFC">
      <w:pPr>
        <w:pStyle w:val="Heading2"/>
      </w:pPr>
      <w:bookmarkStart w:id="17" w:name="_Toc69480691"/>
      <w:r>
        <w:t>Minta Farm</w:t>
      </w:r>
      <w:bookmarkEnd w:id="16"/>
      <w:r w:rsidR="005C2E37">
        <w:t xml:space="preserve"> PSP</w:t>
      </w:r>
      <w:bookmarkEnd w:id="17"/>
    </w:p>
    <w:p w14:paraId="5EC2EF3D" w14:textId="77777777" w:rsidR="00194829" w:rsidRDefault="00194829" w:rsidP="00194829">
      <w:pPr>
        <w:pStyle w:val="Para0"/>
      </w:pPr>
      <w:r>
        <w:t xml:space="preserve">The Minta Farm PSP is the northernmost development reviewed as part of this investigation. </w:t>
      </w:r>
    </w:p>
    <w:p w14:paraId="1286AEF9" w14:textId="68C6B341" w:rsidR="00F86481" w:rsidRDefault="00194829" w:rsidP="00F86481">
      <w:pPr>
        <w:pStyle w:val="Para0"/>
      </w:pPr>
      <w:r>
        <w:t xml:space="preserve">The current Minta Farm site is a 286 hectare site located in Berwick, used primarily for non-intensive cropped agriculture. </w:t>
      </w:r>
      <w:r w:rsidR="00F86481">
        <w:t>The Minta Farm Precinct Structure Plan (PSP) incorporates large areas of residential and office development. The development has been informed by the PSP drainage strategies, which have been prepared to manage onsite drainage and water quality, and changes in the hydrological regime caused by increased runoff following development, and to minimise impact to Cardinia Creek</w:t>
      </w:r>
      <w:r w:rsidR="00462BDA">
        <w:t>’s</w:t>
      </w:r>
      <w:r w:rsidR="00F86481">
        <w:t xml:space="preserve"> high value habitat and ecological values. </w:t>
      </w:r>
    </w:p>
    <w:p w14:paraId="79BE3DAB" w14:textId="72F8FD23" w:rsidR="00F86481" w:rsidRDefault="00F86481" w:rsidP="00F86481">
      <w:pPr>
        <w:pStyle w:val="Para0"/>
      </w:pPr>
      <w:r>
        <w:lastRenderedPageBreak/>
        <w:t xml:space="preserve">The </w:t>
      </w:r>
      <w:r w:rsidRPr="00462BDA">
        <w:rPr>
          <w:i/>
        </w:rPr>
        <w:t>Minta Farm Drainage Strategy – Wetland Systems and Outfalls into the Cardinia Creek</w:t>
      </w:r>
      <w:r>
        <w:t xml:space="preserve"> report (Alluvium, 2019) outlines the key characteristics of the site and the relevant drainage and stormwater management measures in place.  </w:t>
      </w:r>
    </w:p>
    <w:p w14:paraId="7760E1A1" w14:textId="12249E2B" w:rsidR="00194829" w:rsidRDefault="00194829" w:rsidP="00194829">
      <w:pPr>
        <w:pStyle w:val="Para0"/>
      </w:pPr>
      <w:r>
        <w:t xml:space="preserve">The site currently contains a number of large waterbodies that were constructed around 60 years ago by building an embankment between the creek and the floodplain, for use as farm dams. These waterbodies now support sensitive ecological values in the area and are included in Conservation Area 36 as identified in the Melbourne Strategic Assessment; any works in the conservation area requires approval from DELWP and/or the Commonwealth (Alluvium, 2019). </w:t>
      </w:r>
      <w:r>
        <w:fldChar w:fldCharType="begin"/>
      </w:r>
      <w:r>
        <w:instrText xml:space="preserve"> REF _Ref42162712 \h </w:instrText>
      </w:r>
      <w:r>
        <w:fldChar w:fldCharType="separate"/>
      </w:r>
      <w:r w:rsidR="00BE5F47">
        <w:t xml:space="preserve">Figure </w:t>
      </w:r>
      <w:r w:rsidR="00BE5F47">
        <w:rPr>
          <w:noProof/>
        </w:rPr>
        <w:t>2</w:t>
      </w:r>
      <w:r w:rsidR="00BE5F47">
        <w:noBreakHyphen/>
      </w:r>
      <w:r w:rsidR="00BE5F47">
        <w:rPr>
          <w:noProof/>
        </w:rPr>
        <w:t>3</w:t>
      </w:r>
      <w:r>
        <w:fldChar w:fldCharType="end"/>
      </w:r>
      <w:r>
        <w:t xml:space="preserve"> is taken from Figure One of the Alluvium (2019) Drainage Strategy report, and shows an aerial view of the Minta Farm site including farm waterbodies (ponds) and Cardinia Creek. The embankment separating the ponds from the creek is also marked.</w:t>
      </w:r>
    </w:p>
    <w:p w14:paraId="5ABCE1F6" w14:textId="77777777" w:rsidR="00194829" w:rsidRDefault="00194829" w:rsidP="00194829">
      <w:pPr>
        <w:pStyle w:val="Para0"/>
      </w:pPr>
      <w:r>
        <w:rPr>
          <w:noProof/>
        </w:rPr>
        <w:drawing>
          <wp:inline distT="0" distB="0" distL="0" distR="0" wp14:anchorId="08E0196D" wp14:editId="183C1263">
            <wp:extent cx="6296660" cy="4244340"/>
            <wp:effectExtent l="0" t="0" r="889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6296660" cy="4244340"/>
                    </a:xfrm>
                    <a:prstGeom prst="rect">
                      <a:avLst/>
                    </a:prstGeom>
                  </pic:spPr>
                </pic:pic>
              </a:graphicData>
            </a:graphic>
          </wp:inline>
        </w:drawing>
      </w:r>
    </w:p>
    <w:p w14:paraId="1B35799B" w14:textId="0AA1E4C3" w:rsidR="00194829" w:rsidRPr="00CC3226" w:rsidRDefault="00252BBF" w:rsidP="00194829">
      <w:pPr>
        <w:pStyle w:val="Caption"/>
      </w:pPr>
      <w:bookmarkStart w:id="18" w:name="_Ref42162712"/>
      <w:r>
        <w:t>Figure</w:t>
      </w:r>
      <w:r w:rsidR="00194829">
        <w:t xml:space="preserve"> </w:t>
      </w:r>
      <w:r w:rsidR="00E67EC2">
        <w:fldChar w:fldCharType="begin"/>
      </w:r>
      <w:r w:rsidR="00E67EC2">
        <w:instrText xml:space="preserve"> STYLEREF 1 \s </w:instrText>
      </w:r>
      <w:r w:rsidR="00E67EC2">
        <w:fldChar w:fldCharType="separate"/>
      </w:r>
      <w:r w:rsidR="00BE5F47">
        <w:rPr>
          <w:noProof/>
        </w:rPr>
        <w:t>2</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3</w:t>
      </w:r>
      <w:r w:rsidR="00E67EC2">
        <w:fldChar w:fldCharType="end"/>
      </w:r>
      <w:bookmarkEnd w:id="18"/>
      <w:r w:rsidR="00194829">
        <w:t xml:space="preserve"> Minta Farm aerial view showing PSP boundary, location and nomenclature of ponds, and Cardinia Creek</w:t>
      </w:r>
    </w:p>
    <w:p w14:paraId="6D86DD9D" w14:textId="19EF6BCE" w:rsidR="00194829" w:rsidRDefault="00194829" w:rsidP="00194829">
      <w:pPr>
        <w:pStyle w:val="Para0"/>
      </w:pPr>
      <w:r>
        <w:t>The drainage strategy considered current hydrological conditions, key ecological values, and modelled changes under future development. Drainage and stormwater management measures were then developed to minimise impacts.</w:t>
      </w:r>
    </w:p>
    <w:p w14:paraId="69F0B39D" w14:textId="77777777" w:rsidR="00194829" w:rsidRDefault="00194829" w:rsidP="00194829">
      <w:pPr>
        <w:pStyle w:val="Para0"/>
      </w:pPr>
      <w:r>
        <w:t>The key principles to be considered were provided by Melbourne Water, and include:</w:t>
      </w:r>
    </w:p>
    <w:p w14:paraId="5227774F" w14:textId="6F8FBF54" w:rsidR="00194829" w:rsidRDefault="00194829" w:rsidP="00194829">
      <w:pPr>
        <w:pStyle w:val="Para0bullet"/>
      </w:pPr>
      <w:r w:rsidRPr="0062463C">
        <w:rPr>
          <w:b/>
        </w:rPr>
        <w:t>Stormwater quantity and flood management</w:t>
      </w:r>
      <w:r>
        <w:t xml:space="preserve"> – can the size and location of overland paths safely convey a 1% AEP event within road reserves, or is a waterway corridor required? The flow management strategy for Minta Farm PSP is designed to align with the principles advocated in the “Drainage Strategy for the Overall Cardinia Creek Catchment</w:t>
      </w:r>
      <w:r w:rsidR="00462BDA">
        <w:t>”</w:t>
      </w:r>
      <w:r>
        <w:t xml:space="preserve"> (Stormy Water Solutions 2012), which reviewed and consolidated several previous investigations and provided recommendations for a catchment-wide strategy from new development within the Cardinia Creek Catchment south of the Pakenham Bypass. However, this study </w:t>
      </w:r>
      <w:r w:rsidR="00462BDA">
        <w:t xml:space="preserve">assessed </w:t>
      </w:r>
      <w:r>
        <w:t>flood impacts from a safety and property perspective and did not consider impacts of peak flood flows on waterway values.</w:t>
      </w:r>
    </w:p>
    <w:p w14:paraId="4F18F368" w14:textId="77777777" w:rsidR="00194829" w:rsidRDefault="00194829" w:rsidP="00194829">
      <w:pPr>
        <w:pStyle w:val="Para0bullet"/>
      </w:pPr>
      <w:r>
        <w:rPr>
          <w:b/>
        </w:rPr>
        <w:lastRenderedPageBreak/>
        <w:t xml:space="preserve">Ecological protection and enhancement </w:t>
      </w:r>
      <w:r>
        <w:t>– the impact on the existing ecological values needs to be minimised and opportunities for enhancement should be considered.</w:t>
      </w:r>
    </w:p>
    <w:p w14:paraId="0B3EB13B" w14:textId="77777777" w:rsidR="00194829" w:rsidRDefault="00194829" w:rsidP="00194829">
      <w:pPr>
        <w:pStyle w:val="Para0bullet"/>
        <w:numPr>
          <w:ilvl w:val="0"/>
          <w:numId w:val="0"/>
        </w:numPr>
      </w:pPr>
      <w:r>
        <w:t xml:space="preserve">The key drainage strategy design criteria for Minta Farm, relating to stormwater quantity and ecological protection are as follows (Alluvium, 2019): </w:t>
      </w:r>
    </w:p>
    <w:p w14:paraId="7F21CCBE" w14:textId="7ADE99DF" w:rsidR="00194829" w:rsidRPr="0062463C" w:rsidRDefault="00194829" w:rsidP="00194829">
      <w:pPr>
        <w:pStyle w:val="Para0bullet"/>
        <w:rPr>
          <w:lang w:val="en-AU"/>
        </w:rPr>
      </w:pPr>
      <w:r w:rsidRPr="0062463C">
        <w:rPr>
          <w:lang w:val="en-AU"/>
        </w:rPr>
        <w:t>Retarding basins are not required within the Minta Farm site, however wetland retardation is required for rainfall events up to the 1 year ARI</w:t>
      </w:r>
    </w:p>
    <w:p w14:paraId="4EB88A96" w14:textId="44178A14" w:rsidR="00194829" w:rsidRPr="0062463C" w:rsidRDefault="00194829" w:rsidP="00194829">
      <w:pPr>
        <w:pStyle w:val="Para0bullet"/>
        <w:rPr>
          <w:lang w:val="en-AU"/>
        </w:rPr>
      </w:pPr>
      <w:r w:rsidRPr="0062463C">
        <w:rPr>
          <w:lang w:val="en-AU"/>
        </w:rPr>
        <w:t>Flood mitigation works will be required at the Cardinia Creek Outfall (downstream of McCormacks Road) to ensure all flows are maintained within the leveed outfall</w:t>
      </w:r>
    </w:p>
    <w:p w14:paraId="18A9762F" w14:textId="758B1040" w:rsidR="00194829" w:rsidRPr="0062463C" w:rsidRDefault="00194829" w:rsidP="00194829">
      <w:pPr>
        <w:pStyle w:val="Para0bullet"/>
        <w:rPr>
          <w:lang w:val="en-AU"/>
        </w:rPr>
      </w:pPr>
      <w:r w:rsidRPr="0062463C">
        <w:rPr>
          <w:lang w:val="en-AU"/>
        </w:rPr>
        <w:t>Flow management for ecological protection of ecological values in existing ponds 0 and 3 (e.g. 1.5 year ARI) should be provided. It is expected that this attenuation could be provided as a “by-product” to constructing wetlands for stormwater quality treatment</w:t>
      </w:r>
    </w:p>
    <w:p w14:paraId="3827ACCF" w14:textId="47BF5AFA" w:rsidR="00194829" w:rsidRPr="0062463C" w:rsidRDefault="00194829" w:rsidP="00194829">
      <w:pPr>
        <w:pStyle w:val="Para0bullet"/>
        <w:rPr>
          <w:lang w:val="en-AU"/>
        </w:rPr>
      </w:pPr>
      <w:r>
        <w:rPr>
          <w:lang w:val="en-AU"/>
        </w:rPr>
        <w:t>Overland flow paths within the Minta Farm site to safely convey the 1% AEP flows</w:t>
      </w:r>
    </w:p>
    <w:p w14:paraId="651D62D4" w14:textId="3177B0DA" w:rsidR="00194829" w:rsidRPr="0062463C" w:rsidRDefault="00194829" w:rsidP="00194829">
      <w:pPr>
        <w:pStyle w:val="Para0bullet"/>
        <w:rPr>
          <w:lang w:val="en-AU"/>
        </w:rPr>
      </w:pPr>
      <w:r w:rsidRPr="0062463C">
        <w:rPr>
          <w:lang w:val="en-AU"/>
        </w:rPr>
        <w:t>Maintain hydrological regime in Pond 0 to support Latham Snipe and the Growling Grass Frog</w:t>
      </w:r>
    </w:p>
    <w:p w14:paraId="336552DB" w14:textId="45911BCA" w:rsidR="00194829" w:rsidRPr="0062463C" w:rsidRDefault="00194829" w:rsidP="00194829">
      <w:pPr>
        <w:pStyle w:val="Para0bullet"/>
        <w:rPr>
          <w:lang w:val="en-AU"/>
        </w:rPr>
      </w:pPr>
      <w:r w:rsidRPr="0062463C">
        <w:rPr>
          <w:lang w:val="en-AU"/>
        </w:rPr>
        <w:t>Retain the current hydrological regime in Pond 3 (areas of permanent open water for foraging and breeding habitat for state listed waterbirds)</w:t>
      </w:r>
    </w:p>
    <w:p w14:paraId="51286E5B" w14:textId="276A267F" w:rsidR="00194829" w:rsidRPr="0062463C" w:rsidRDefault="00194829" w:rsidP="00194829">
      <w:pPr>
        <w:pStyle w:val="Para0bullet"/>
        <w:rPr>
          <w:lang w:val="en-AU"/>
        </w:rPr>
      </w:pPr>
      <w:r w:rsidRPr="0062463C">
        <w:rPr>
          <w:lang w:val="en-AU"/>
        </w:rPr>
        <w:t>Retain the breeding waterbird islands within Pond 3</w:t>
      </w:r>
    </w:p>
    <w:p w14:paraId="171E67E3" w14:textId="06BFEA65" w:rsidR="00194829" w:rsidRPr="0062463C" w:rsidRDefault="00194829" w:rsidP="00194829">
      <w:pPr>
        <w:pStyle w:val="Para0bullet"/>
        <w:rPr>
          <w:lang w:val="en-AU"/>
        </w:rPr>
      </w:pPr>
      <w:r w:rsidRPr="0062463C">
        <w:rPr>
          <w:lang w:val="en-AU"/>
        </w:rPr>
        <w:t>Retain and enhance Dwarf Galaxias habitat</w:t>
      </w:r>
    </w:p>
    <w:p w14:paraId="0484263E" w14:textId="5721F1DD" w:rsidR="00194829" w:rsidRPr="0062463C" w:rsidRDefault="00194829" w:rsidP="00194829">
      <w:pPr>
        <w:pStyle w:val="Para0bullet"/>
        <w:rPr>
          <w:lang w:val="en-AU"/>
        </w:rPr>
      </w:pPr>
      <w:r w:rsidRPr="0062463C">
        <w:rPr>
          <w:lang w:val="en-AU"/>
        </w:rPr>
        <w:t>Develop at least some wetlands to provide protection and management of habitat provided for waterbirds and Dwarf Galaxias, consequently providing key Growling Grass Frog wetland habitat</w:t>
      </w:r>
    </w:p>
    <w:p w14:paraId="5CBBC388" w14:textId="5719F7B4" w:rsidR="00194829" w:rsidRPr="0062463C" w:rsidRDefault="00194829" w:rsidP="00194829">
      <w:pPr>
        <w:pStyle w:val="Para0bullet"/>
        <w:rPr>
          <w:lang w:val="en-AU"/>
        </w:rPr>
      </w:pPr>
      <w:r w:rsidRPr="0062463C">
        <w:rPr>
          <w:lang w:val="en-AU"/>
        </w:rPr>
        <w:t>Maintain and enhance shallow areas within existing wetlands and create new shallow, well-vegetated wetlands</w:t>
      </w:r>
    </w:p>
    <w:p w14:paraId="2A491C4A" w14:textId="77777777" w:rsidR="00194829" w:rsidRDefault="00194829" w:rsidP="00194829">
      <w:pPr>
        <w:pStyle w:val="Para0bullet"/>
        <w:rPr>
          <w:lang w:val="en-AU"/>
        </w:rPr>
      </w:pPr>
      <w:r w:rsidRPr="0062463C">
        <w:rPr>
          <w:lang w:val="en-AU"/>
        </w:rPr>
        <w:t>Minimise disturbance to existing swamp scrub by minimising works between the toe of the existing embankment and Cardinia Creek.</w:t>
      </w:r>
    </w:p>
    <w:p w14:paraId="51CEFB3A" w14:textId="78B2C601" w:rsidR="00194829" w:rsidRDefault="00194829" w:rsidP="0049178E">
      <w:pPr>
        <w:pStyle w:val="Para0"/>
        <w:rPr>
          <w:lang w:val="en-AU"/>
        </w:rPr>
      </w:pPr>
      <w:r>
        <w:rPr>
          <w:lang w:val="en-AU"/>
        </w:rPr>
        <w:t>The recommended design</w:t>
      </w:r>
      <w:r w:rsidR="00876DD4">
        <w:rPr>
          <w:lang w:val="en-AU"/>
        </w:rPr>
        <w:t xml:space="preserve"> for Minta Farm includes two separate drainage systems: a northern section </w:t>
      </w:r>
      <w:r w:rsidR="00252BBF">
        <w:rPr>
          <w:lang w:val="en-AU"/>
        </w:rPr>
        <w:t xml:space="preserve">(Minta Farm north) </w:t>
      </w:r>
      <w:r w:rsidR="008746B3">
        <w:rPr>
          <w:lang w:val="en-AU"/>
        </w:rPr>
        <w:t xml:space="preserve">where low flows outfall </w:t>
      </w:r>
      <w:r w:rsidR="00876DD4">
        <w:rPr>
          <w:lang w:val="en-AU"/>
        </w:rPr>
        <w:t xml:space="preserve">through Pond 1 (WL1) and </w:t>
      </w:r>
      <w:r w:rsidR="008746B3">
        <w:rPr>
          <w:lang w:val="en-AU"/>
        </w:rPr>
        <w:t xml:space="preserve">high flows outfall via </w:t>
      </w:r>
      <w:r w:rsidR="00876DD4">
        <w:rPr>
          <w:lang w:val="en-AU"/>
        </w:rPr>
        <w:t>a proposed</w:t>
      </w:r>
      <w:r>
        <w:rPr>
          <w:lang w:val="en-AU"/>
        </w:rPr>
        <w:t xml:space="preserve"> west-east waterway corridor </w:t>
      </w:r>
      <w:r w:rsidR="00876DD4">
        <w:rPr>
          <w:lang w:val="en-AU"/>
        </w:rPr>
        <w:t>outfall, and a southern section</w:t>
      </w:r>
      <w:r w:rsidR="00252BBF">
        <w:rPr>
          <w:lang w:val="en-AU"/>
        </w:rPr>
        <w:t xml:space="preserve"> (Minta Farm south)</w:t>
      </w:r>
      <w:r w:rsidR="00876DD4">
        <w:rPr>
          <w:lang w:val="en-AU"/>
        </w:rPr>
        <w:t xml:space="preserve"> that incorporates new stormwater treatment wetlands prior to discharge to Pond 3 with overflow to Cardinia Creek via a new outfall at the southern end of Pond 3 </w:t>
      </w:r>
      <w:r>
        <w:rPr>
          <w:lang w:val="en-AU"/>
        </w:rPr>
        <w:t>(taken from Alluvium (2019) Figure 19):</w:t>
      </w:r>
    </w:p>
    <w:p w14:paraId="77BACA00" w14:textId="77777777" w:rsidR="00194829" w:rsidRDefault="00194829" w:rsidP="00194829">
      <w:pPr>
        <w:pStyle w:val="Para0bullet"/>
        <w:numPr>
          <w:ilvl w:val="0"/>
          <w:numId w:val="0"/>
        </w:numPr>
        <w:ind w:left="425" w:hanging="425"/>
        <w:rPr>
          <w:lang w:val="en-AU"/>
        </w:rPr>
      </w:pPr>
      <w:r>
        <w:rPr>
          <w:noProof/>
        </w:rPr>
        <w:lastRenderedPageBreak/>
        <w:drawing>
          <wp:inline distT="0" distB="0" distL="0" distR="0" wp14:anchorId="539A24C0" wp14:editId="2677F73E">
            <wp:extent cx="6193296" cy="4390768"/>
            <wp:effectExtent l="0" t="0" r="0" b="0"/>
            <wp:docPr id="6149" name="Picture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6218922" cy="4408936"/>
                    </a:xfrm>
                    <a:prstGeom prst="rect">
                      <a:avLst/>
                    </a:prstGeom>
                  </pic:spPr>
                </pic:pic>
              </a:graphicData>
            </a:graphic>
          </wp:inline>
        </w:drawing>
      </w:r>
    </w:p>
    <w:p w14:paraId="53E44893" w14:textId="23E76D6E" w:rsidR="00194829" w:rsidRDefault="00194829" w:rsidP="00194829">
      <w:pPr>
        <w:pStyle w:val="Caption"/>
      </w:pPr>
      <w:r>
        <w:rPr>
          <w:lang w:val="en-AU"/>
        </w:rPr>
        <w:t xml:space="preserve"> </w:t>
      </w:r>
      <w:r w:rsidR="00252BBF">
        <w:rPr>
          <w:lang w:val="en-AU"/>
        </w:rPr>
        <w:t>Figure</w:t>
      </w:r>
      <w:r>
        <w:t xml:space="preserve"> </w:t>
      </w:r>
      <w:r w:rsidR="00E67EC2">
        <w:fldChar w:fldCharType="begin"/>
      </w:r>
      <w:r w:rsidR="00E67EC2">
        <w:instrText xml:space="preserve"> STYLEREF 1 \s </w:instrText>
      </w:r>
      <w:r w:rsidR="00E67EC2">
        <w:fldChar w:fldCharType="separate"/>
      </w:r>
      <w:r w:rsidR="00BE5F47">
        <w:rPr>
          <w:noProof/>
        </w:rPr>
        <w:t>2</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4</w:t>
      </w:r>
      <w:r w:rsidR="00E67EC2">
        <w:fldChar w:fldCharType="end"/>
      </w:r>
      <w:r>
        <w:t xml:space="preserve"> Drainage and waterway corridor plan for Minta Farm</w:t>
      </w:r>
    </w:p>
    <w:p w14:paraId="551F8DB5" w14:textId="10FF82B6" w:rsidR="00270DFC" w:rsidRDefault="00270DFC" w:rsidP="00270DFC">
      <w:pPr>
        <w:pStyle w:val="Heading2"/>
      </w:pPr>
      <w:bookmarkStart w:id="19" w:name="_Toc69480692"/>
      <w:r>
        <w:t>Officer South</w:t>
      </w:r>
      <w:r w:rsidR="005C2E37">
        <w:t xml:space="preserve"> Employment PSP</w:t>
      </w:r>
      <w:bookmarkEnd w:id="19"/>
    </w:p>
    <w:p w14:paraId="661AEF23" w14:textId="21D201E0" w:rsidR="00025610" w:rsidRDefault="005C2E37" w:rsidP="00025610">
      <w:pPr>
        <w:pStyle w:val="Para0"/>
      </w:pPr>
      <w:r>
        <w:t xml:space="preserve">The </w:t>
      </w:r>
      <w:r w:rsidR="0023198F">
        <w:t>Officer South Employment PSP</w:t>
      </w:r>
      <w:r w:rsidR="00CC71A2">
        <w:t xml:space="preserve"> </w:t>
      </w:r>
      <w:r w:rsidR="001C44BA">
        <w:t xml:space="preserve">is located </w:t>
      </w:r>
      <w:r w:rsidR="00CC71A2">
        <w:t>on the east side of Cardinia Creek.  The proposed drainage scheme for Officer South</w:t>
      </w:r>
      <w:r>
        <w:t xml:space="preserve"> Employment PSP</w:t>
      </w:r>
      <w:r w:rsidR="00CC71A2">
        <w:t xml:space="preserve"> (which also incorporates inflows from the Officer PSP, which is already being developed north of the Princes Freeway)</w:t>
      </w:r>
      <w:r w:rsidR="001C44BA">
        <w:t xml:space="preserve"> </w:t>
      </w:r>
      <w:r w:rsidR="00CC71A2">
        <w:t xml:space="preserve">involves a waterway </w:t>
      </w:r>
      <w:r w:rsidR="004823B2">
        <w:t xml:space="preserve">corridor, including a number of stormwater treatment wetlands, </w:t>
      </w:r>
      <w:r w:rsidR="00CC71A2">
        <w:t>being constructed along the Officer South Road with</w:t>
      </w:r>
      <w:r w:rsidR="001C44BA">
        <w:t xml:space="preserve"> an outfall to Cardinia Creek approximately half way between the </w:t>
      </w:r>
      <w:r w:rsidR="00CC71A2">
        <w:t>Cardinia Drop S</w:t>
      </w:r>
      <w:r w:rsidR="001C44BA">
        <w:t>tructure and Chasemore</w:t>
      </w:r>
      <w:r w:rsidR="00CC71A2">
        <w:t>/McCormack</w:t>
      </w:r>
      <w:r w:rsidR="001C44BA">
        <w:t xml:space="preserve"> Rd</w:t>
      </w:r>
      <w:r w:rsidR="004823B2">
        <w:t xml:space="preserve"> (S</w:t>
      </w:r>
      <w:r w:rsidR="00CC71A2">
        <w:t xml:space="preserve">tormy </w:t>
      </w:r>
      <w:r w:rsidR="00CC71A2" w:rsidRPr="00025610">
        <w:t>Solutions</w:t>
      </w:r>
      <w:r w:rsidR="00CC71A2">
        <w:t xml:space="preserve"> (2011).  </w:t>
      </w:r>
      <w:r w:rsidR="000A295D">
        <w:t xml:space="preserve">The scheme also requires flood mitigation works in Cardinia Creek Outfall channel itself to provide protection to the </w:t>
      </w:r>
      <w:r w:rsidR="000A295D">
        <w:rPr>
          <w:szCs w:val="20"/>
        </w:rPr>
        <w:t>Koo Wee Rup Flood Protection District</w:t>
      </w:r>
      <w:r w:rsidR="000A295D">
        <w:t xml:space="preserve">.  </w:t>
      </w:r>
      <w:r w:rsidR="004823B2">
        <w:t xml:space="preserve">The conceptual design focuses on containing the 100 year ARI </w:t>
      </w:r>
      <w:r w:rsidR="005337F6">
        <w:t xml:space="preserve">event </w:t>
      </w:r>
      <w:r w:rsidR="004823B2">
        <w:t xml:space="preserve">but notes that through the process of functional design that the scheme will need to include elements that </w:t>
      </w:r>
      <w:r w:rsidR="004823B2" w:rsidRPr="00025610">
        <w:t>extend the detention range in order to protect the existing ecology and channel morphology of the Cardinia Creek downstream of the outfall</w:t>
      </w:r>
      <w:r w:rsidR="00025610" w:rsidRPr="00025610">
        <w:t xml:space="preserve"> (suggested by Stormy Solutions (2011) as flows up to the 1.5 year ARI event)</w:t>
      </w:r>
      <w:r w:rsidR="004823B2" w:rsidRPr="00025610">
        <w:t xml:space="preserve">.  However, the current design is not </w:t>
      </w:r>
      <w:r w:rsidR="00025610" w:rsidRPr="00025610">
        <w:t>explicit</w:t>
      </w:r>
      <w:r w:rsidR="004823B2" w:rsidRPr="00025610">
        <w:t xml:space="preserve"> in how the scheme will achieve this</w:t>
      </w:r>
      <w:r w:rsidR="00025610" w:rsidRPr="00025610">
        <w:t xml:space="preserve">.  </w:t>
      </w:r>
    </w:p>
    <w:p w14:paraId="20C4CE9F" w14:textId="03B9757C" w:rsidR="00025610" w:rsidRPr="00025610" w:rsidRDefault="00025610" w:rsidP="00025610">
      <w:pPr>
        <w:pStyle w:val="Para0"/>
      </w:pPr>
      <w:r w:rsidRPr="00025610">
        <w:t xml:space="preserve">Melbourne Water is in the process of progressing towards function design for the Officer South </w:t>
      </w:r>
      <w:r w:rsidR="005C2E37">
        <w:t>Employment drainage s</w:t>
      </w:r>
      <w:r w:rsidRPr="00025610">
        <w:t>cheme.  The outcomes of the current project should be</w:t>
      </w:r>
      <w:r>
        <w:t xml:space="preserve"> </w:t>
      </w:r>
      <w:r w:rsidRPr="00025610">
        <w:t>used to inform the functional design requirements of the scheme.</w:t>
      </w:r>
    </w:p>
    <w:p w14:paraId="21B74E45" w14:textId="25447358" w:rsidR="00270DFC" w:rsidRDefault="00270DFC" w:rsidP="00270DFC">
      <w:pPr>
        <w:pStyle w:val="Heading2"/>
      </w:pPr>
      <w:bookmarkStart w:id="20" w:name="_Ref42591644"/>
      <w:bookmarkStart w:id="21" w:name="_Toc69480693"/>
      <w:r>
        <w:t>Cardinia South</w:t>
      </w:r>
      <w:bookmarkEnd w:id="20"/>
      <w:r w:rsidR="005C2E37">
        <w:t xml:space="preserve"> PSP</w:t>
      </w:r>
      <w:bookmarkEnd w:id="21"/>
    </w:p>
    <w:p w14:paraId="3756CAAA" w14:textId="558D6592" w:rsidR="005226B5" w:rsidRDefault="005226B5" w:rsidP="000345B4">
      <w:pPr>
        <w:pStyle w:val="Para0"/>
      </w:pPr>
      <w:r>
        <w:t xml:space="preserve">The Cardinia Creek South (formerly known as McPherson) PSP is the furthest downstream of the three PSPs </w:t>
      </w:r>
      <w:r w:rsidR="00025610">
        <w:t>on the western side of</w:t>
      </w:r>
      <w:r>
        <w:t xml:space="preserve"> Cardinia Creek. </w:t>
      </w:r>
      <w:r w:rsidR="00025610">
        <w:t xml:space="preserve"> </w:t>
      </w:r>
      <w:r>
        <w:t xml:space="preserve">Cardinia Creek forms the north eastern boundary of the PSP. </w:t>
      </w:r>
      <w:r w:rsidR="00025610">
        <w:t xml:space="preserve"> </w:t>
      </w:r>
      <w:r>
        <w:t>Clyde Creek passes through the south western corner of the PSP, and Bailieu Creek flows through the northern part of the PSP before discharging into Cardinia Creek at the southern end of the PSP boundary.</w:t>
      </w:r>
    </w:p>
    <w:p w14:paraId="6050503C" w14:textId="0C0E1445" w:rsidR="00230C0B" w:rsidRDefault="006C1F89" w:rsidP="00230C0B">
      <w:pPr>
        <w:pStyle w:val="Para0"/>
      </w:pPr>
      <w:r>
        <w:lastRenderedPageBreak/>
        <w:t xml:space="preserve">The </w:t>
      </w:r>
      <w:r w:rsidR="000569C5" w:rsidRPr="00230C0B">
        <w:rPr>
          <w:i/>
        </w:rPr>
        <w:t xml:space="preserve">Stormwater Management Strategy – McPherson Precinct Structure Plan </w:t>
      </w:r>
      <w:r w:rsidR="000569C5" w:rsidRPr="00025610">
        <w:t>(</w:t>
      </w:r>
      <w:r w:rsidR="00025610" w:rsidRPr="00025610">
        <w:t xml:space="preserve">Alluvium </w:t>
      </w:r>
      <w:r w:rsidR="000569C5" w:rsidRPr="00025610">
        <w:t xml:space="preserve">2016) </w:t>
      </w:r>
      <w:r w:rsidR="000569C5">
        <w:t>report</w:t>
      </w:r>
      <w:r>
        <w:t xml:space="preserve"> </w:t>
      </w:r>
      <w:r w:rsidR="00025610">
        <w:t>acknowledges the presence of</w:t>
      </w:r>
      <w:r>
        <w:t xml:space="preserve"> high value species</w:t>
      </w:r>
      <w:r w:rsidR="00025610">
        <w:t xml:space="preserve"> in Cardinia Creek</w:t>
      </w:r>
      <w:r>
        <w:t xml:space="preserve"> and the need to cater for Australian </w:t>
      </w:r>
      <w:r w:rsidR="0045757F">
        <w:t>grayling</w:t>
      </w:r>
      <w:r>
        <w:t xml:space="preserve"> and Dwarf Galaxias.</w:t>
      </w:r>
      <w:r w:rsidR="000569C5">
        <w:t xml:space="preserve"> </w:t>
      </w:r>
      <w:r w:rsidR="00025610">
        <w:t xml:space="preserve"> </w:t>
      </w:r>
      <w:r w:rsidR="00230C0B">
        <w:t xml:space="preserve">The report highlights the key principles for stormwater management, namely: </w:t>
      </w:r>
    </w:p>
    <w:p w14:paraId="5C362DC0" w14:textId="77777777" w:rsidR="00230C0B" w:rsidRDefault="00230C0B" w:rsidP="00FE48A8">
      <w:pPr>
        <w:pStyle w:val="Para0"/>
        <w:numPr>
          <w:ilvl w:val="0"/>
          <w:numId w:val="88"/>
        </w:numPr>
        <w:rPr>
          <w:szCs w:val="20"/>
        </w:rPr>
      </w:pPr>
      <w:r w:rsidRPr="00230C0B">
        <w:rPr>
          <w:i/>
          <w:iCs/>
          <w:szCs w:val="20"/>
        </w:rPr>
        <w:t xml:space="preserve">Reduce runoff and peak flows </w:t>
      </w:r>
      <w:r w:rsidRPr="00230C0B">
        <w:rPr>
          <w:szCs w:val="20"/>
        </w:rPr>
        <w:t xml:space="preserve">- reduce peak flows from urban development by local detention measures and minimising impervious areas. Local detention and retention enables effective land use for flood mitigation by utilising numerous storage points in contrast to the current practice of utilisation of large retarding basins. This approach subsequently reduces the infrastructure required downstream to effectively drain urban developments during rainfall events. </w:t>
      </w:r>
    </w:p>
    <w:p w14:paraId="4CE04A12" w14:textId="1D72E7E0" w:rsidR="00230C0B" w:rsidRPr="00230C0B" w:rsidRDefault="00230C0B" w:rsidP="00FE48A8">
      <w:pPr>
        <w:pStyle w:val="Para0"/>
        <w:numPr>
          <w:ilvl w:val="0"/>
          <w:numId w:val="88"/>
        </w:numPr>
        <w:rPr>
          <w:szCs w:val="20"/>
        </w:rPr>
      </w:pPr>
      <w:r w:rsidRPr="00230C0B">
        <w:rPr>
          <w:i/>
          <w:iCs/>
          <w:szCs w:val="20"/>
        </w:rPr>
        <w:t xml:space="preserve">Protect natural systems </w:t>
      </w:r>
      <w:r w:rsidRPr="00230C0B">
        <w:rPr>
          <w:szCs w:val="20"/>
        </w:rPr>
        <w:t>- protect and enhance natural water systems within urban developments. Promoting and protecting natural waterways as assets allows them to function more effectively and supports the ecosystems that rely on them.</w:t>
      </w:r>
    </w:p>
    <w:p w14:paraId="2C4E6D58" w14:textId="79A05160" w:rsidR="00230C0B" w:rsidRDefault="000569C5" w:rsidP="00230C0B">
      <w:pPr>
        <w:pStyle w:val="Para0"/>
        <w:rPr>
          <w:i/>
          <w:szCs w:val="20"/>
        </w:rPr>
      </w:pPr>
      <w:r>
        <w:t xml:space="preserve">The </w:t>
      </w:r>
      <w:r w:rsidR="005337F6">
        <w:t>scheme design</w:t>
      </w:r>
      <w:r w:rsidR="0047697B">
        <w:t xml:space="preserve"> identifies the need for construction of an increased area of treatment wetlands and</w:t>
      </w:r>
      <w:r>
        <w:t xml:space="preserve"> </w:t>
      </w:r>
      <w:r w:rsidR="006C1F89" w:rsidRPr="006C1F89">
        <w:rPr>
          <w:i/>
          <w:szCs w:val="20"/>
        </w:rPr>
        <w:t>identifies the size and location of mitigation works required to accommodate and offset the impact of urban development on the local and downstream receiving waters</w:t>
      </w:r>
      <w:r>
        <w:rPr>
          <w:i/>
          <w:szCs w:val="20"/>
        </w:rPr>
        <w:t>”</w:t>
      </w:r>
      <w:r w:rsidR="006C1F89" w:rsidRPr="006C1F89">
        <w:rPr>
          <w:i/>
          <w:szCs w:val="20"/>
        </w:rPr>
        <w:t>.</w:t>
      </w:r>
      <w:r w:rsidR="00230C0B">
        <w:rPr>
          <w:i/>
          <w:szCs w:val="20"/>
        </w:rPr>
        <w:t xml:space="preserve"> </w:t>
      </w:r>
      <w:r w:rsidR="00230C0B">
        <w:rPr>
          <w:szCs w:val="20"/>
        </w:rPr>
        <w:t xml:space="preserve">The design includes a series of sediment basins and wetlands. </w:t>
      </w:r>
    </w:p>
    <w:p w14:paraId="6F365F04" w14:textId="5EA7281C" w:rsidR="006C1F89" w:rsidRPr="00230C0B" w:rsidRDefault="0047697B" w:rsidP="000345B4">
      <w:pPr>
        <w:pStyle w:val="Para0"/>
        <w:rPr>
          <w:szCs w:val="20"/>
        </w:rPr>
      </w:pPr>
      <w:r>
        <w:rPr>
          <w:szCs w:val="20"/>
        </w:rPr>
        <w:t xml:space="preserve">The report also </w:t>
      </w:r>
      <w:r w:rsidR="006C1F89">
        <w:rPr>
          <w:szCs w:val="20"/>
        </w:rPr>
        <w:t xml:space="preserve">references </w:t>
      </w:r>
      <w:r>
        <w:rPr>
          <w:szCs w:val="20"/>
        </w:rPr>
        <w:t>a previous report’s key finding that “</w:t>
      </w:r>
      <w:r w:rsidR="006C1F89" w:rsidRPr="006C1F89">
        <w:rPr>
          <w:i/>
          <w:szCs w:val="20"/>
        </w:rPr>
        <w:t xml:space="preserve">no flow mitigation is needed to manage run‐off in large events up to and including the 100 year ARI event. </w:t>
      </w:r>
      <w:r w:rsidR="00230C0B" w:rsidRPr="006C1F89">
        <w:rPr>
          <w:i/>
          <w:szCs w:val="20"/>
        </w:rPr>
        <w:t>However the study also identified that flow mitigation for smaller flood events (up to the 2 year ARI event) is required for ecological protection</w:t>
      </w:r>
      <w:r w:rsidR="00230C0B">
        <w:rPr>
          <w:i/>
          <w:szCs w:val="20"/>
        </w:rPr>
        <w:t>.</w:t>
      </w:r>
      <w:r w:rsidR="00230C0B" w:rsidRPr="006C1F89">
        <w:rPr>
          <w:i/>
          <w:szCs w:val="20"/>
        </w:rPr>
        <w:t xml:space="preserve"> </w:t>
      </w:r>
      <w:r w:rsidR="006C1F89" w:rsidRPr="006C1F89">
        <w:rPr>
          <w:i/>
          <w:szCs w:val="20"/>
        </w:rPr>
        <w:t>The airspace above wetland systems will provide storage capacity to offset the impacts on peak flows for smaller flood events (up to the 2 year ARI event)</w:t>
      </w:r>
      <w:r>
        <w:rPr>
          <w:i/>
          <w:szCs w:val="20"/>
        </w:rPr>
        <w:t>”</w:t>
      </w:r>
      <w:r w:rsidR="00230C0B">
        <w:rPr>
          <w:i/>
          <w:szCs w:val="20"/>
        </w:rPr>
        <w:t xml:space="preserve"> </w:t>
      </w:r>
      <w:r w:rsidR="00230C0B">
        <w:rPr>
          <w:szCs w:val="20"/>
        </w:rPr>
        <w:t xml:space="preserve"> Wetlands have been primarily designed on the basis of meeting BPEMG for nutrient and TSS removal, as well as the mitigation of the 2 year ARI events</w:t>
      </w:r>
      <w:r w:rsidR="0030688F">
        <w:rPr>
          <w:szCs w:val="20"/>
        </w:rPr>
        <w:t>, rather than any other specific flow related priorities</w:t>
      </w:r>
      <w:r w:rsidR="00230C0B">
        <w:rPr>
          <w:szCs w:val="20"/>
        </w:rPr>
        <w:t xml:space="preserve">. </w:t>
      </w:r>
    </w:p>
    <w:p w14:paraId="06344101" w14:textId="110D914D" w:rsidR="0047697B" w:rsidRPr="0047697B" w:rsidRDefault="0047697B" w:rsidP="000345B4">
      <w:pPr>
        <w:pStyle w:val="Para0"/>
        <w:rPr>
          <w:szCs w:val="20"/>
        </w:rPr>
      </w:pPr>
      <w:r>
        <w:rPr>
          <w:szCs w:val="20"/>
        </w:rPr>
        <w:t xml:space="preserve">As with the Minta Farm </w:t>
      </w:r>
      <w:r w:rsidR="005337F6">
        <w:rPr>
          <w:szCs w:val="20"/>
        </w:rPr>
        <w:t>and Officer South</w:t>
      </w:r>
      <w:r w:rsidR="005C2E37">
        <w:rPr>
          <w:szCs w:val="20"/>
        </w:rPr>
        <w:t xml:space="preserve"> Employment</w:t>
      </w:r>
      <w:r w:rsidR="005337F6">
        <w:rPr>
          <w:szCs w:val="20"/>
        </w:rPr>
        <w:t xml:space="preserve"> schemes</w:t>
      </w:r>
      <w:r>
        <w:rPr>
          <w:szCs w:val="20"/>
        </w:rPr>
        <w:t xml:space="preserve">, the Cardinia South Stormwater Management Strategy identifies the need for flood mitigation works downstream at the Cardinia Creek outfall (and extending 6 kilometres upstream) to mitigate development effects, ensure the 100 year ARI flow can be maintained within existing levee structures and not pose additional risks to the Koo Wee Rup Flood Protection District. </w:t>
      </w:r>
    </w:p>
    <w:p w14:paraId="5355073D" w14:textId="7604326B" w:rsidR="005226B5" w:rsidRDefault="005226B5" w:rsidP="000345B4">
      <w:pPr>
        <w:pStyle w:val="Para0"/>
      </w:pPr>
    </w:p>
    <w:p w14:paraId="10F34386" w14:textId="0323B744" w:rsidR="0064413A" w:rsidRDefault="00854DBC" w:rsidP="00854DBC">
      <w:pPr>
        <w:pStyle w:val="Heading1"/>
      </w:pPr>
      <w:bookmarkStart w:id="22" w:name="_Ref39238842"/>
      <w:bookmarkStart w:id="23" w:name="_Toc69480694"/>
      <w:r>
        <w:lastRenderedPageBreak/>
        <w:t>Critical fish habitat and requirements</w:t>
      </w:r>
      <w:bookmarkEnd w:id="12"/>
      <w:bookmarkEnd w:id="22"/>
      <w:bookmarkEnd w:id="23"/>
    </w:p>
    <w:p w14:paraId="7286413C" w14:textId="08897195" w:rsidR="00206C05" w:rsidRDefault="00206C05" w:rsidP="00CE71B0">
      <w:pPr>
        <w:pStyle w:val="Para0bullet"/>
        <w:numPr>
          <w:ilvl w:val="0"/>
          <w:numId w:val="0"/>
        </w:numPr>
      </w:pPr>
      <w:r>
        <w:t>The key project</w:t>
      </w:r>
      <w:r>
        <w:rPr>
          <w:lang w:val="en-AU"/>
        </w:rPr>
        <w:t xml:space="preserve"> objective is to determine risks to </w:t>
      </w:r>
      <w:r w:rsidR="00E63871">
        <w:rPr>
          <w:lang w:val="en-AU"/>
        </w:rPr>
        <w:t>dwarf galaxias (</w:t>
      </w:r>
      <w:r w:rsidR="00E63871" w:rsidRPr="0097039E">
        <w:rPr>
          <w:i/>
          <w:lang w:val="en-AU"/>
        </w:rPr>
        <w:t>Galaxiella pusilla</w:t>
      </w:r>
      <w:r w:rsidR="00E63871">
        <w:rPr>
          <w:lang w:val="en-AU"/>
        </w:rPr>
        <w:t xml:space="preserve">) and </w:t>
      </w:r>
      <w:r>
        <w:rPr>
          <w:lang w:val="en-AU"/>
        </w:rPr>
        <w:t xml:space="preserve">Australian </w:t>
      </w:r>
      <w:r w:rsidR="0045757F">
        <w:rPr>
          <w:lang w:val="en-AU"/>
        </w:rPr>
        <w:t>grayling</w:t>
      </w:r>
      <w:r w:rsidR="0097039E">
        <w:rPr>
          <w:lang w:val="en-AU"/>
        </w:rPr>
        <w:t xml:space="preserve"> (</w:t>
      </w:r>
      <w:r w:rsidR="0097039E" w:rsidRPr="0097039E">
        <w:rPr>
          <w:i/>
          <w:lang w:val="en-AU"/>
        </w:rPr>
        <w:t>Prototroctes maraena</w:t>
      </w:r>
      <w:r w:rsidR="0097039E">
        <w:rPr>
          <w:lang w:val="en-AU"/>
        </w:rPr>
        <w:t>)</w:t>
      </w:r>
      <w:r>
        <w:rPr>
          <w:lang w:val="en-AU"/>
        </w:rPr>
        <w:t xml:space="preserve"> as a result of any changes to flow regime</w:t>
      </w:r>
      <w:r w:rsidR="00FE48A8">
        <w:rPr>
          <w:lang w:val="en-AU"/>
        </w:rPr>
        <w:t xml:space="preserve"> from the PSP development</w:t>
      </w:r>
      <w:r w:rsidR="00822D19">
        <w:rPr>
          <w:lang w:val="en-AU"/>
        </w:rPr>
        <w:t>, and resultant impacts on critical flow components or habitat.</w:t>
      </w:r>
      <w:r w:rsidR="00E63871">
        <w:rPr>
          <w:lang w:val="en-AU"/>
        </w:rPr>
        <w:t xml:space="preserve"> </w:t>
      </w:r>
      <w:r>
        <w:rPr>
          <w:lang w:val="en-AU"/>
        </w:rPr>
        <w:t xml:space="preserve"> </w:t>
      </w:r>
      <w:r w:rsidR="00822D19">
        <w:rPr>
          <w:lang w:val="en-AU"/>
        </w:rPr>
        <w:t xml:space="preserve">This chapter </w:t>
      </w:r>
      <w:r w:rsidR="00822D19">
        <w:t xml:space="preserve">describes </w:t>
      </w:r>
      <w:r w:rsidR="00E63871">
        <w:t xml:space="preserve">dwarf galaxias and </w:t>
      </w:r>
      <w:r>
        <w:t xml:space="preserve">Australian </w:t>
      </w:r>
      <w:r w:rsidR="0045757F">
        <w:t>grayling</w:t>
      </w:r>
      <w:r w:rsidR="00E63871">
        <w:t xml:space="preserve"> </w:t>
      </w:r>
      <w:r>
        <w:t>and their respective habitat and flow requirements, and flow thresholds that represent risks to life history requirements and general habitat condition.</w:t>
      </w:r>
    </w:p>
    <w:p w14:paraId="10F4A580" w14:textId="4E978265" w:rsidR="00BB7F95" w:rsidRDefault="00BB7F95" w:rsidP="00BB7F95">
      <w:pPr>
        <w:pStyle w:val="Heading2"/>
        <w:rPr>
          <w:lang w:val="en-AU"/>
        </w:rPr>
      </w:pPr>
      <w:bookmarkStart w:id="24" w:name="_Ref41470062"/>
      <w:bookmarkStart w:id="25" w:name="_Toc69480695"/>
      <w:r>
        <w:rPr>
          <w:lang w:val="en-AU"/>
        </w:rPr>
        <w:t>Dwarf Galaxias</w:t>
      </w:r>
      <w:bookmarkEnd w:id="24"/>
      <w:bookmarkEnd w:id="25"/>
    </w:p>
    <w:p w14:paraId="00D70FF4" w14:textId="2E9BDF23" w:rsidR="00E63871" w:rsidRDefault="008740F1" w:rsidP="00C023C8">
      <w:pPr>
        <w:pStyle w:val="Para0"/>
        <w:rPr>
          <w:lang w:val="en-AU"/>
        </w:rPr>
      </w:pPr>
      <w:r>
        <w:t xml:space="preserve">Dwarf galaxias are </w:t>
      </w:r>
      <w:r w:rsidR="0097039E">
        <w:t xml:space="preserve">a small (typically ~40 mm long) freshwater fish of national conservation significance. </w:t>
      </w:r>
      <w:r w:rsidR="00E63871">
        <w:rPr>
          <w:lang w:val="en-AU"/>
        </w:rPr>
        <w:t xml:space="preserve">They are endangered in Victoria and listed as threatened under the </w:t>
      </w:r>
      <w:r w:rsidR="00E63871" w:rsidRPr="004A548B">
        <w:rPr>
          <w:i/>
          <w:lang w:val="en-AU"/>
        </w:rPr>
        <w:t>Flora and Fauna Guarantee Act</w:t>
      </w:r>
      <w:r w:rsidR="00E63871" w:rsidRPr="004A548B">
        <w:rPr>
          <w:lang w:val="en-AU"/>
        </w:rPr>
        <w:t xml:space="preserve"> </w:t>
      </w:r>
      <w:r w:rsidR="00E63871">
        <w:rPr>
          <w:lang w:val="en-AU"/>
        </w:rPr>
        <w:t xml:space="preserve">(1988) and are listed as vulnerable under the Commonwealth </w:t>
      </w:r>
      <w:r w:rsidR="00E63871" w:rsidRPr="007D7856">
        <w:rPr>
          <w:i/>
          <w:lang w:val="en-AU"/>
        </w:rPr>
        <w:t xml:space="preserve">Environment Protection and Biodiversity Conservation (EPBC) Act </w:t>
      </w:r>
      <w:r w:rsidR="00E63871">
        <w:rPr>
          <w:lang w:val="en-AU"/>
        </w:rPr>
        <w:t>(1999).</w:t>
      </w:r>
    </w:p>
    <w:p w14:paraId="7111CAD4" w14:textId="7C205E85" w:rsidR="0097039E" w:rsidRDefault="0097039E" w:rsidP="00C023C8">
      <w:pPr>
        <w:pStyle w:val="Para0"/>
      </w:pPr>
      <w:r>
        <w:t xml:space="preserve">They are </w:t>
      </w:r>
      <w:r w:rsidR="008740F1">
        <w:t xml:space="preserve">a wholly freshwater species that inhabit slow flowing and still, shallow, permanent and temporary freshwater habitats such as swamps, drains and backwaters, often containing dense aquatic macrophytes and emergent plants </w:t>
      </w:r>
      <w:r w:rsidR="008740F1">
        <w:fldChar w:fldCharType="begin"/>
      </w:r>
      <w:r w:rsidR="008740F1">
        <w:instrText xml:space="preserve"> ADDIN EN.CITE &lt;EndNote&gt;&lt;Cite&gt;&lt;Author&gt;Sadlier&lt;/Author&gt;&lt;Year&gt;2010&lt;/Year&gt;&lt;RecNum&gt;3437&lt;/RecNum&gt;&lt;DisplayText&gt;(Sadlier&lt;style face="italic"&gt; et al.&lt;/style&gt;, 2010)&lt;/DisplayText&gt;&lt;record&gt;&lt;rec-number&gt;3437&lt;/rec-number&gt;&lt;foreign-keys&gt;&lt;key app="EN" db-id="d0s2errflvze20evzxyvr9xzwfwste2v9tf2" timestamp="1329787012"&gt;3437&lt;/key&gt;&lt;/foreign-keys&gt;&lt;ref-type name="Report"&gt;27&lt;/ref-type&gt;&lt;contributors&gt;&lt;authors&gt;&lt;author&gt;Sadlier, S.&lt;/author&gt;&lt;author&gt;Jackson, J.&lt;/author&gt;&lt;author&gt;Hammer, M.&lt;/author&gt;&lt;/authors&gt;&lt;/contributors&gt;&lt;titles&gt;&lt;title&gt;&lt;style face="normal" font="default" size="100%"&gt;National recovery plan for the dwarf galxias &lt;/style&gt;&lt;style face="italic" font="default" size="100%"&gt;Galaxiella pusilla&lt;/style&gt;&lt;/title&gt;&lt;/titles&gt;&lt;dates&gt;&lt;year&gt;2010&lt;/year&gt;&lt;/dates&gt;&lt;publisher&gt;Victorian Department of Sustainability and Environment, Melbourne&lt;/publisher&gt;&lt;urls&gt;&lt;/urls&gt;&lt;/record&gt;&lt;/Cite&gt;&lt;/EndNote&gt;</w:instrText>
      </w:r>
      <w:r w:rsidR="008740F1">
        <w:fldChar w:fldCharType="separate"/>
      </w:r>
      <w:r w:rsidR="008740F1">
        <w:rPr>
          <w:noProof/>
        </w:rPr>
        <w:t>(Sadlier</w:t>
      </w:r>
      <w:r w:rsidR="008740F1" w:rsidRPr="003678FE">
        <w:rPr>
          <w:i/>
          <w:noProof/>
        </w:rPr>
        <w:t xml:space="preserve"> et al.</w:t>
      </w:r>
      <w:r w:rsidR="008740F1">
        <w:rPr>
          <w:noProof/>
        </w:rPr>
        <w:t>, 2010)</w:t>
      </w:r>
      <w:r w:rsidR="008740F1">
        <w:fldChar w:fldCharType="end"/>
      </w:r>
      <w:r w:rsidR="008740F1">
        <w:t xml:space="preserve">.  </w:t>
      </w:r>
    </w:p>
    <w:p w14:paraId="01B5D933" w14:textId="157F1F90" w:rsidR="0097039E" w:rsidRDefault="0097039E" w:rsidP="0097039E">
      <w:pPr>
        <w:pStyle w:val="Para0"/>
        <w:jc w:val="center"/>
      </w:pPr>
      <w:r w:rsidRPr="0097039E">
        <w:rPr>
          <w:noProof/>
        </w:rPr>
        <w:drawing>
          <wp:inline distT="0" distB="0" distL="0" distR="0" wp14:anchorId="60F05F60" wp14:editId="1725B150">
            <wp:extent cx="4100830" cy="274932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24532" cy="2765217"/>
                    </a:xfrm>
                    <a:prstGeom prst="rect">
                      <a:avLst/>
                    </a:prstGeom>
                  </pic:spPr>
                </pic:pic>
              </a:graphicData>
            </a:graphic>
          </wp:inline>
        </w:drawing>
      </w:r>
    </w:p>
    <w:p w14:paraId="48EA8851" w14:textId="1FFC35ED" w:rsidR="0097039E" w:rsidRDefault="00252BBF" w:rsidP="0097039E">
      <w:pPr>
        <w:pStyle w:val="Caption"/>
      </w:pPr>
      <w:r>
        <w:t>Figure</w:t>
      </w:r>
      <w:r w:rsidR="0097039E">
        <w:t xml:space="preserve"> </w:t>
      </w:r>
      <w:r w:rsidR="00E67EC2">
        <w:fldChar w:fldCharType="begin"/>
      </w:r>
      <w:r w:rsidR="00E67EC2">
        <w:instrText xml:space="preserve"> STYLEREF 1 \s </w:instrText>
      </w:r>
      <w:r w:rsidR="00E67EC2">
        <w:fldChar w:fldCharType="separate"/>
      </w:r>
      <w:r w:rsidR="00BE5F47">
        <w:rPr>
          <w:noProof/>
        </w:rPr>
        <w:t>3</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1</w:t>
      </w:r>
      <w:r w:rsidR="00E67EC2">
        <w:fldChar w:fldCharType="end"/>
      </w:r>
      <w:r w:rsidR="0097039E">
        <w:t xml:space="preserve"> Dwarf galaxias (</w:t>
      </w:r>
      <w:r w:rsidR="0097039E" w:rsidRPr="00E63871">
        <w:rPr>
          <w:i/>
        </w:rPr>
        <w:t>Galaxiella pusilla</w:t>
      </w:r>
      <w:r w:rsidR="0097039E">
        <w:t xml:space="preserve">) Image credit Rhys Coleman and </w:t>
      </w:r>
      <w:r w:rsidR="00106424">
        <w:t xml:space="preserve">Andrew Weeks </w:t>
      </w:r>
      <w:r w:rsidR="0097039E">
        <w:rPr>
          <w:rStyle w:val="FootnoteReference"/>
        </w:rPr>
        <w:footnoteReference w:id="1"/>
      </w:r>
    </w:p>
    <w:p w14:paraId="045D850B" w14:textId="758B8E48" w:rsidR="00C023C8" w:rsidRPr="003F0A8D" w:rsidRDefault="008740F1" w:rsidP="00C023C8">
      <w:pPr>
        <w:pStyle w:val="Para0"/>
        <w:rPr>
          <w:lang w:val="en-AU"/>
        </w:rPr>
      </w:pPr>
      <w:r>
        <w:t>They do not undertake large</w:t>
      </w:r>
      <w:r>
        <w:rPr>
          <w:rFonts w:ascii="Cambria Math" w:hAnsi="Cambria Math" w:cs="Cambria Math"/>
        </w:rPr>
        <w:t>‐</w:t>
      </w:r>
      <w:r>
        <w:t xml:space="preserve">scale migratory movements but they do move between local habitats during flood events to recolonise seasonal habitats </w:t>
      </w:r>
      <w:r>
        <w:fldChar w:fldCharType="begin"/>
      </w:r>
      <w:r>
        <w:instrText xml:space="preserve"> ADDIN EN.CITE &lt;EndNote&gt;&lt;Cite&gt;&lt;Author&gt;Sadlier&lt;/Author&gt;&lt;Year&gt;2010&lt;/Year&gt;&lt;RecNum&gt;3437&lt;/RecNum&gt;&lt;DisplayText&gt;(Sadlier&lt;style face="italic"&gt; et al.&lt;/style&gt;, 2010)&lt;/DisplayText&gt;&lt;record&gt;&lt;rec-number&gt;3437&lt;/rec-number&gt;&lt;foreign-keys&gt;&lt;key app="EN" db-id="d0s2errflvze20evzxyvr9xzwfwste2v9tf2" timestamp="1329787012"&gt;3437&lt;/key&gt;&lt;/foreign-keys&gt;&lt;ref-type name="Report"&gt;27&lt;/ref-type&gt;&lt;contributors&gt;&lt;authors&gt;&lt;author&gt;Sadlier, S.&lt;/author&gt;&lt;author&gt;Jackson, J.&lt;/author&gt;&lt;author&gt;Hammer, M.&lt;/author&gt;&lt;/authors&gt;&lt;/contributors&gt;&lt;titles&gt;&lt;title&gt;&lt;style face="normal" font="default" size="100%"&gt;National recovery plan for the dwarf galxias &lt;/style&gt;&lt;style face="italic" font="default" size="100%"&gt;Galaxiella pusilla&lt;/style&gt;&lt;/title&gt;&lt;/titles&gt;&lt;dates&gt;&lt;year&gt;2010&lt;/year&gt;&lt;/dates&gt;&lt;publisher&gt;Victorian Department of Sustainability and Environment, Melbourne&lt;/publisher&gt;&lt;urls&gt;&lt;/urls&gt;&lt;/record&gt;&lt;/Cite&gt;&lt;/EndNote&gt;</w:instrText>
      </w:r>
      <w:r>
        <w:fldChar w:fldCharType="separate"/>
      </w:r>
      <w:r>
        <w:rPr>
          <w:noProof/>
        </w:rPr>
        <w:t>(Sadlier</w:t>
      </w:r>
      <w:r w:rsidRPr="003678FE">
        <w:rPr>
          <w:i/>
          <w:noProof/>
        </w:rPr>
        <w:t xml:space="preserve"> et al.</w:t>
      </w:r>
      <w:r>
        <w:rPr>
          <w:noProof/>
        </w:rPr>
        <w:t>, 2010)</w:t>
      </w:r>
      <w:r>
        <w:fldChar w:fldCharType="end"/>
      </w:r>
      <w:r>
        <w:t>.</w:t>
      </w:r>
      <w:r w:rsidRPr="003678FE">
        <w:t xml:space="preserve"> </w:t>
      </w:r>
      <w:r w:rsidR="00C023C8">
        <w:t xml:space="preserve"> Dwarf galaxias are </w:t>
      </w:r>
      <w:r w:rsidR="000A295D" w:rsidRPr="00BB7F95">
        <w:rPr>
          <w:lang w:val="en-AU"/>
        </w:rPr>
        <w:t>adapted</w:t>
      </w:r>
      <w:r w:rsidR="00C023C8" w:rsidRPr="00BB7F95">
        <w:rPr>
          <w:lang w:val="en-AU"/>
        </w:rPr>
        <w:t xml:space="preserve"> to seasonal wetting and drying</w:t>
      </w:r>
      <w:r w:rsidR="00C023C8">
        <w:rPr>
          <w:lang w:val="en-AU"/>
        </w:rPr>
        <w:t>; l</w:t>
      </w:r>
      <w:r w:rsidR="00C023C8" w:rsidRPr="003F0A8D">
        <w:t>ow flows allow wetlands and anabranches to dry out to a series of isolated refuge pools in summer and autumn</w:t>
      </w:r>
      <w:r w:rsidR="00C023C8">
        <w:t>, while h</w:t>
      </w:r>
      <w:r w:rsidR="00C023C8" w:rsidRPr="003F0A8D">
        <w:t>igh flows in late autumn inundate anabranches and create spawning habitat</w:t>
      </w:r>
      <w:r w:rsidR="00DB1A8C">
        <w:t>.</w:t>
      </w:r>
    </w:p>
    <w:p w14:paraId="3DE60D6C" w14:textId="77777777" w:rsidR="008740F1" w:rsidRDefault="008740F1" w:rsidP="008740F1">
      <w:pPr>
        <w:pStyle w:val="Para0"/>
      </w:pPr>
      <w:r>
        <w:t xml:space="preserve">Spawning occurs from April through to December and appears to correspond to seasonal inundation of low-lying wetland and floodplain </w:t>
      </w:r>
      <w:r w:rsidRPr="00FB2D21">
        <w:t>habitats</w:t>
      </w:r>
      <w:r>
        <w:t xml:space="preserve"> as described below.</w:t>
      </w:r>
    </w:p>
    <w:p w14:paraId="3D9DD029" w14:textId="77777777" w:rsidR="008740F1" w:rsidRDefault="008740F1" w:rsidP="008740F1">
      <w:pPr>
        <w:pStyle w:val="Para0"/>
      </w:pPr>
      <w:r>
        <w:t xml:space="preserve">Habitat for dwarf galaxias can be generally categorised as follows </w:t>
      </w:r>
      <w:r>
        <w:fldChar w:fldCharType="begin"/>
      </w:r>
      <w:r>
        <w:instrText xml:space="preserve"> ADDIN EN.CITE &lt;EndNote&gt;&lt;Cite&gt;&lt;Author&gt;Biosis&lt;/Author&gt;&lt;Year&gt;2012&lt;/Year&gt;&lt;RecNum&gt;3693&lt;/RecNum&gt;&lt;DisplayText&gt;(Biosis, 2012)&lt;/DisplayText&gt;&lt;record&gt;&lt;rec-number&gt;3693&lt;/rec-number&gt;&lt;foreign-keys&gt;&lt;key app="EN" db-id="d0s2errflvze20evzxyvr9xzwfwste2v9tf2" timestamp="1575428032"&gt;3693&lt;/key&gt;&lt;/foreign-keys&gt;&lt;ref-type name="Report"&gt;27&lt;/ref-type&gt;&lt;contributors&gt;&lt;authors&gt;&lt;author&gt;Biosis&lt;/author&gt;&lt;/authors&gt;&lt;tertiary-authors&gt;&lt;author&gt;Biosis Research Pty Ltd&lt;/author&gt;&lt;/tertiary-authors&gt;&lt;/contributors&gt;&lt;titles&gt;&lt;title&gt;Melbourne&amp;apos;s Strategic Assessment: Dwarf galaxias surveys for the South East Growth Corridor&lt;/title&gt;&lt;/titles&gt;&lt;dates&gt;&lt;year&gt;2012&lt;/year&gt;&lt;/dates&gt;&lt;urls&gt;&lt;/urls&gt;&lt;/record&gt;&lt;/Cite&gt;&lt;/EndNote&gt;</w:instrText>
      </w:r>
      <w:r>
        <w:fldChar w:fldCharType="separate"/>
      </w:r>
      <w:r>
        <w:rPr>
          <w:noProof/>
        </w:rPr>
        <w:t>(Biosis, 2012)</w:t>
      </w:r>
      <w:r>
        <w:fldChar w:fldCharType="end"/>
      </w:r>
      <w:r>
        <w:t>:</w:t>
      </w:r>
    </w:p>
    <w:p w14:paraId="6A478C42" w14:textId="77777777" w:rsidR="008740F1" w:rsidRDefault="008740F1" w:rsidP="008740F1">
      <w:pPr>
        <w:pStyle w:val="Para0bullet"/>
      </w:pPr>
      <w:r>
        <w:t xml:space="preserve">Transient habitat only - typically parts of floodplains or ephemeral habitats that retain water for less than a month following inundation, or habitats dominated by faster flowing hydraulic habitats (e.g. riffle/run) that </w:t>
      </w:r>
      <w:r>
        <w:lastRenderedPageBreak/>
        <w:t>do not offer the no flow/slow flow hydraulic habitats (e.g. backwater/pool/glide) preferred by Dwarf Galaxias. Transient habitats are important for dispersal and foraging.</w:t>
      </w:r>
    </w:p>
    <w:p w14:paraId="55DCB83C" w14:textId="77777777" w:rsidR="008740F1" w:rsidRDefault="008740F1" w:rsidP="008740F1">
      <w:pPr>
        <w:pStyle w:val="Para0bullet"/>
      </w:pPr>
      <w:r>
        <w:t>Spawning habitat only – typically ephemeral habitats with abundant aquatic or fringing terrestrial vegetation (e.g. grasses) that pool for sustained periods (e.g. 1-3 months) during the spawning period (April-December) following inundation but ultimately contract back into short- or long-term refuge habitats nearby.</w:t>
      </w:r>
    </w:p>
    <w:p w14:paraId="0F94C418" w14:textId="77777777" w:rsidR="008740F1" w:rsidRDefault="008740F1" w:rsidP="008740F1">
      <w:pPr>
        <w:pStyle w:val="Para0bullet"/>
      </w:pPr>
      <w:r>
        <w:t>Short-term refuge habitat – habitats that only retain water for short periods (i.e. 3+ months or throughout wet years), or, habitats that retain water for longer but do not have the required attributes likely to be required to support a permanent, self-sustaining population of Dwarf Galaxias. Such habitats are typically colonised or re-colonised following a flooding event. In the case of short-term refuge habitats that ultimately dry out, these can at least initially be extremely productive for spawning and recruitment, however such populations are often lost to habitat desiccation unless a flow/flooding event allows individuals to disperse beforehand. There is some evidence that dwarf galaxias can survive for short periods of time in crayfish burrows if surface water disappears (Rhys Coleman, Melbourne Wat, pers. com.).</w:t>
      </w:r>
    </w:p>
    <w:p w14:paraId="59338E94" w14:textId="6C5CD34D" w:rsidR="008740F1" w:rsidRDefault="008740F1" w:rsidP="008740F1">
      <w:pPr>
        <w:pStyle w:val="Para0bullet"/>
      </w:pPr>
      <w:r>
        <w:t>Long-term refuge habitat: – habitats that retain water for long periods (i.e. years) or permanently and always support a self-sustaining population of Dwarf Galaxias. Typically these are perennial waterways, or the deepest pools within an ephemeral waterway, or a dam or wetland on a floodplain.</w:t>
      </w:r>
    </w:p>
    <w:p w14:paraId="29F1B702" w14:textId="2E18369F" w:rsidR="008740F1" w:rsidRDefault="008740F1" w:rsidP="008740F1">
      <w:pPr>
        <w:pStyle w:val="Para0bullet"/>
        <w:numPr>
          <w:ilvl w:val="0"/>
          <w:numId w:val="0"/>
        </w:numPr>
        <w:ind w:left="425"/>
      </w:pPr>
      <w:r>
        <w:t xml:space="preserve">Dwarf Galaxias populations in these habitats are typically referred to as source populations, since it is these populations that persist during dry conditions and from which Dwarf Galaxias will again disperse during suitable flow conditions (e.g. flood) </w:t>
      </w:r>
      <w:r>
        <w:fldChar w:fldCharType="begin"/>
      </w:r>
      <w:r>
        <w:instrText xml:space="preserve"> ADDIN EN.CITE &lt;EndNote&gt;&lt;Cite&gt;&lt;Author&gt;Biosis&lt;/Author&gt;&lt;Year&gt;2012&lt;/Year&gt;&lt;RecNum&gt;3693&lt;/RecNum&gt;&lt;DisplayText&gt;(Biosis, 2012)&lt;/DisplayText&gt;&lt;record&gt;&lt;rec-number&gt;3693&lt;/rec-number&gt;&lt;foreign-keys&gt;&lt;key app="EN" db-id="d0s2errflvze20evzxyvr9xzwfwste2v9tf2" timestamp="1575428032"&gt;3693&lt;/key&gt;&lt;/foreign-keys&gt;&lt;ref-type name="Report"&gt;27&lt;/ref-type&gt;&lt;contributors&gt;&lt;authors&gt;&lt;author&gt;Biosis&lt;/author&gt;&lt;/authors&gt;&lt;tertiary-authors&gt;&lt;author&gt;Biosis Research Pty Ltd&lt;/author&gt;&lt;/tertiary-authors&gt;&lt;/contributors&gt;&lt;titles&gt;&lt;title&gt;Melbourne&amp;apos;s Strategic Assessment: Dwarf galaxias surveys for the South East Growth Corridor&lt;/title&gt;&lt;/titles&gt;&lt;dates&gt;&lt;year&gt;2012&lt;/year&gt;&lt;/dates&gt;&lt;urls&gt;&lt;/urls&gt;&lt;/record&gt;&lt;/Cite&gt;&lt;/EndNote&gt;</w:instrText>
      </w:r>
      <w:r>
        <w:fldChar w:fldCharType="separate"/>
      </w:r>
      <w:r>
        <w:rPr>
          <w:noProof/>
        </w:rPr>
        <w:t>(Biosis, 2012)</w:t>
      </w:r>
      <w:r>
        <w:fldChar w:fldCharType="end"/>
      </w:r>
      <w:r>
        <w:t>.</w:t>
      </w:r>
    </w:p>
    <w:p w14:paraId="39068924" w14:textId="77777777" w:rsidR="008740F1" w:rsidRDefault="008740F1" w:rsidP="008740F1">
      <w:pPr>
        <w:pStyle w:val="Para0"/>
      </w:pPr>
      <w:r>
        <w:t xml:space="preserve">Ideal habitat is characterised by dense aquatic submerged and emergent vegetation and overhanging riparian vegetation </w:t>
      </w:r>
      <w:r>
        <w:fldChar w:fldCharType="begin"/>
      </w:r>
      <w:r>
        <w:instrText xml:space="preserve"> ADDIN EN.CITE &lt;EndNote&gt;&lt;Cite&gt;&lt;Author&gt;Sadlier&lt;/Author&gt;&lt;Year&gt;2010&lt;/Year&gt;&lt;RecNum&gt;3437&lt;/RecNum&gt;&lt;DisplayText&gt;(Sadlier&lt;style face="italic"&gt; et al.&lt;/style&gt;, 2010)&lt;/DisplayText&gt;&lt;record&gt;&lt;rec-number&gt;3437&lt;/rec-number&gt;&lt;foreign-keys&gt;&lt;key app="EN" db-id="d0s2errflvze20evzxyvr9xzwfwste2v9tf2" timestamp="1329787012"&gt;3437&lt;/key&gt;&lt;/foreign-keys&gt;&lt;ref-type name="Report"&gt;27&lt;/ref-type&gt;&lt;contributors&gt;&lt;authors&gt;&lt;author&gt;Sadlier, S.&lt;/author&gt;&lt;author&gt;Jackson, J.&lt;/author&gt;&lt;author&gt;Hammer, M.&lt;/author&gt;&lt;/authors&gt;&lt;/contributors&gt;&lt;titles&gt;&lt;title&gt;&lt;style face="normal" font="default" size="100%"&gt;National recovery plan for the dwarf galxias &lt;/style&gt;&lt;style face="italic" font="default" size="100%"&gt;Galaxiella pusilla&lt;/style&gt;&lt;/title&gt;&lt;/titles&gt;&lt;dates&gt;&lt;year&gt;2010&lt;/year&gt;&lt;/dates&gt;&lt;publisher&gt;Victorian Department of Sustainability and Environment, Melbourne&lt;/publisher&gt;&lt;urls&gt;&lt;/urls&gt;&lt;/record&gt;&lt;/Cite&gt;&lt;/EndNote&gt;</w:instrText>
      </w:r>
      <w:r>
        <w:fldChar w:fldCharType="separate"/>
      </w:r>
      <w:r>
        <w:rPr>
          <w:noProof/>
        </w:rPr>
        <w:t>(Sadlier</w:t>
      </w:r>
      <w:r w:rsidRPr="003678FE">
        <w:rPr>
          <w:i/>
          <w:noProof/>
        </w:rPr>
        <w:t xml:space="preserve"> et al.</w:t>
      </w:r>
      <w:r>
        <w:rPr>
          <w:noProof/>
        </w:rPr>
        <w:t>, 2010)</w:t>
      </w:r>
      <w:r>
        <w:fldChar w:fldCharType="end"/>
      </w:r>
      <w:r>
        <w:t xml:space="preserve">.  </w:t>
      </w:r>
    </w:p>
    <w:p w14:paraId="4AC7F382" w14:textId="77777777" w:rsidR="008740F1" w:rsidRDefault="008740F1" w:rsidP="008740F1">
      <w:pPr>
        <w:pStyle w:val="Para0"/>
        <w:rPr>
          <w:szCs w:val="20"/>
        </w:rPr>
      </w:pPr>
      <w:r>
        <w:t>Around Melbourne, preferred habitat includes wetlands and creek anabranches that partially or completely dry out over summer and are inundated in winter (Rhys Coleman, Melbourne Wat, pers. com.).  The habitats are often associated with remnant Swampy Riparian Woodland Ecological Vegetation Class (EVC83) along creeks and drainage lines in Melbourne’s south east and in permanent wetlands and dams containing abundant macrophytes.</w:t>
      </w:r>
    </w:p>
    <w:p w14:paraId="73D59C5D" w14:textId="77777777" w:rsidR="008740F1" w:rsidRDefault="008740F1" w:rsidP="008740F1">
      <w:pPr>
        <w:pStyle w:val="Para0"/>
      </w:pPr>
      <w:r>
        <w:t xml:space="preserve">The general flow/water regime requirements for dwarf galaxias are </w:t>
      </w:r>
      <w:r>
        <w:fldChar w:fldCharType="begin"/>
      </w:r>
      <w:r>
        <w:instrText xml:space="preserve"> ADDIN EN.CITE &lt;EndNote&gt;&lt;Cite&gt;&lt;Author&gt;Sadlier&lt;/Author&gt;&lt;Year&gt;2010&lt;/Year&gt;&lt;RecNum&gt;3437&lt;/RecNum&gt;&lt;DisplayText&gt;(Sadlier&lt;style face="italic"&gt; et al.&lt;/style&gt;, 2010)&lt;/DisplayText&gt;&lt;record&gt;&lt;rec-number&gt;3437&lt;/rec-number&gt;&lt;foreign-keys&gt;&lt;key app="EN" db-id="d0s2errflvze20evzxyvr9xzwfwste2v9tf2" timestamp="1329787012"&gt;3437&lt;/key&gt;&lt;/foreign-keys&gt;&lt;ref-type name="Report"&gt;27&lt;/ref-type&gt;&lt;contributors&gt;&lt;authors&gt;&lt;author&gt;Sadlier, S.&lt;/author&gt;&lt;author&gt;Jackson, J.&lt;/author&gt;&lt;author&gt;Hammer, M.&lt;/author&gt;&lt;/authors&gt;&lt;/contributors&gt;&lt;titles&gt;&lt;title&gt;&lt;style face="normal" font="default" size="100%"&gt;National recovery plan for the dwarf galxias &lt;/style&gt;&lt;style face="italic" font="default" size="100%"&gt;Galaxiella pusilla&lt;/style&gt;&lt;/title&gt;&lt;/titles&gt;&lt;dates&gt;&lt;year&gt;2010&lt;/year&gt;&lt;/dates&gt;&lt;publisher&gt;Victorian Department of Sustainability and Environment, Melbourne&lt;/publisher&gt;&lt;urls&gt;&lt;/urls&gt;&lt;/record&gt;&lt;/Cite&gt;&lt;/EndNote&gt;</w:instrText>
      </w:r>
      <w:r>
        <w:fldChar w:fldCharType="separate"/>
      </w:r>
      <w:r>
        <w:rPr>
          <w:noProof/>
        </w:rPr>
        <w:t>(Sadlier</w:t>
      </w:r>
      <w:r w:rsidRPr="003678FE">
        <w:rPr>
          <w:i/>
          <w:noProof/>
        </w:rPr>
        <w:t xml:space="preserve"> et al.</w:t>
      </w:r>
      <w:r>
        <w:rPr>
          <w:noProof/>
        </w:rPr>
        <w:t>, 2010)</w:t>
      </w:r>
      <w:r>
        <w:fldChar w:fldCharType="end"/>
      </w:r>
      <w:r>
        <w:t xml:space="preserve">: </w:t>
      </w:r>
    </w:p>
    <w:p w14:paraId="64DC8954" w14:textId="72468B99" w:rsidR="008740F1" w:rsidRPr="003678FE" w:rsidRDefault="008740F1" w:rsidP="008740F1">
      <w:pPr>
        <w:pStyle w:val="Para0bullet"/>
      </w:pPr>
      <w:r w:rsidRPr="003678FE">
        <w:t>Low flows in summer that allow drying of floodplain wetlands and backwaters</w:t>
      </w:r>
      <w:r>
        <w:t>, yet retain permanent water in long-term refuge habitats</w:t>
      </w:r>
      <w:r w:rsidR="007D568F">
        <w:t>, such as anabranches and permanent wetlands/dams</w:t>
      </w:r>
      <w:r w:rsidRPr="003678FE">
        <w:t xml:space="preserve">.  </w:t>
      </w:r>
    </w:p>
    <w:p w14:paraId="7B8D4AEE" w14:textId="7D606281" w:rsidR="008740F1" w:rsidRDefault="008740F1" w:rsidP="008740F1">
      <w:pPr>
        <w:pStyle w:val="Para0bullet"/>
      </w:pPr>
      <w:r w:rsidRPr="003678FE">
        <w:t xml:space="preserve">Short duration high and overbank flows in winter/spring that inundate </w:t>
      </w:r>
      <w:r>
        <w:t>spawning and short-term habitat</w:t>
      </w:r>
      <w:r w:rsidRPr="003678FE">
        <w:t xml:space="preserve"> wetland habitats</w:t>
      </w:r>
      <w:r>
        <w:t xml:space="preserve"> and provide connection between long-term habitats and spawning / short-term habitats</w:t>
      </w:r>
      <w:r w:rsidRPr="003678FE">
        <w:t>.</w:t>
      </w:r>
    </w:p>
    <w:p w14:paraId="0D5D970A" w14:textId="77777777" w:rsidR="008740F1" w:rsidRPr="005579FF" w:rsidRDefault="008740F1" w:rsidP="008740F1">
      <w:pPr>
        <w:pStyle w:val="Heading3"/>
      </w:pPr>
      <w:bookmarkStart w:id="26" w:name="_Toc27065908"/>
      <w:bookmarkStart w:id="27" w:name="_Toc69480696"/>
      <w:r>
        <w:t>Presence in Cardinia Creek</w:t>
      </w:r>
      <w:bookmarkEnd w:id="26"/>
      <w:bookmarkEnd w:id="27"/>
    </w:p>
    <w:p w14:paraId="5A780EA2" w14:textId="63F89B0E" w:rsidR="008740F1" w:rsidRDefault="008740F1" w:rsidP="008740F1">
      <w:pPr>
        <w:pStyle w:val="Para0"/>
      </w:pPr>
      <w:r>
        <w:t xml:space="preserve">In Cardinia Creek, dwarf galaxias have been recorded from small wetlands, backwaters and anabranches associated with Cardinia Creek </w:t>
      </w:r>
      <w:r>
        <w:fldChar w:fldCharType="begin"/>
      </w:r>
      <w:r w:rsidR="0045757F">
        <w:instrText xml:space="preserve"> ADDIN EN.CITE &lt;EndNote&gt;&lt;Cite&gt;&lt;Author&gt;Biosis&lt;/Author&gt;&lt;Year&gt;2012&lt;/Year&gt;&lt;RecNum&gt;3693&lt;/RecNum&gt;&lt;Suffix&gt; and see Figure 1&lt;/Suffix&gt;&lt;DisplayText&gt;(Biosis, 2012 and see Figure 1)&lt;/DisplayText&gt;&lt;record&gt;&lt;rec-number&gt;3693&lt;/rec-number&gt;&lt;foreign-keys&gt;&lt;key app="EN" db-id="d0s2errflvze20evzxyvr9xzwfwste2v9tf2" timestamp="1575428032"&gt;3693&lt;/key&gt;&lt;/foreign-keys&gt;&lt;ref-type name="Report"&gt;27&lt;/ref-type&gt;&lt;contributors&gt;&lt;authors&gt;&lt;author&gt;Biosis&lt;/author&gt;&lt;/authors&gt;&lt;tertiary-authors&gt;&lt;author&gt;Biosis Research Pty Ltd&lt;/author&gt;&lt;/tertiary-authors&gt;&lt;/contributors&gt;&lt;titles&gt;&lt;title&gt;Melbourne&amp;apos;s Strategic Assessment: Dwarf galaxias surveys for the South East Growth Corridor&lt;/title&gt;&lt;/titles&gt;&lt;dates&gt;&lt;year&gt;2012&lt;/year&gt;&lt;/dates&gt;&lt;urls&gt;&lt;/urls&gt;&lt;/record&gt;&lt;/Cite&gt;&lt;/EndNote&gt;</w:instrText>
      </w:r>
      <w:r>
        <w:fldChar w:fldCharType="separate"/>
      </w:r>
      <w:r w:rsidR="0045757F">
        <w:rPr>
          <w:noProof/>
        </w:rPr>
        <w:t>(Biosis, 2012 and see Figure 1)</w:t>
      </w:r>
      <w:r>
        <w:fldChar w:fldCharType="end"/>
      </w:r>
      <w:r>
        <w:t>.  Most records have been from around and upstream of the Pakenham Bypass, however, historical and recent records have been from anabranches of Cardinia Creek adjacent to the Minta Farm PSP and the Clyde North PSP</w:t>
      </w:r>
      <w:r w:rsidR="0024469B">
        <w:t>.</w:t>
      </w:r>
      <w:r>
        <w:t xml:space="preserve"> </w:t>
      </w:r>
      <w:r w:rsidR="007D568F">
        <w:t xml:space="preserve"> The distributions are likely to reflect a combination of the presence of suitable habitat and also survey effort, so it cannot be assumed that dwarf galaxias are not located more broadly across the local area if suitable habitat exists.  This could include areas not directly connected to Cardinia Creek, such as road side drains and farm dams that retain permanent water (e.g. due to connections to groundwater or from local catchment flows).</w:t>
      </w:r>
    </w:p>
    <w:p w14:paraId="4AD638F0" w14:textId="77777777" w:rsidR="008740F1" w:rsidRDefault="008740F1" w:rsidP="008740F1">
      <w:pPr>
        <w:rPr>
          <w:rFonts w:ascii="Calibri" w:hAnsi="Calibri" w:cs="Calibri"/>
          <w:szCs w:val="20"/>
        </w:rPr>
      </w:pPr>
      <w:r>
        <w:rPr>
          <w:noProof/>
        </w:rPr>
        <w:lastRenderedPageBreak/>
        <w:drawing>
          <wp:inline distT="0" distB="0" distL="0" distR="0" wp14:anchorId="1C57ECC5" wp14:editId="7A7F8B3A">
            <wp:extent cx="3707027" cy="3176443"/>
            <wp:effectExtent l="0" t="0" r="825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a:ext>
                      </a:extLst>
                    </a:blip>
                    <a:stretch>
                      <a:fillRect/>
                    </a:stretch>
                  </pic:blipFill>
                  <pic:spPr>
                    <a:xfrm>
                      <a:off x="0" y="0"/>
                      <a:ext cx="3738297" cy="3203238"/>
                    </a:xfrm>
                    <a:prstGeom prst="rect">
                      <a:avLst/>
                    </a:prstGeom>
                  </pic:spPr>
                </pic:pic>
              </a:graphicData>
            </a:graphic>
          </wp:inline>
        </w:drawing>
      </w:r>
    </w:p>
    <w:p w14:paraId="17533218" w14:textId="321AD8AA" w:rsidR="008740F1" w:rsidRDefault="00252BBF" w:rsidP="008740F1">
      <w:pPr>
        <w:pStyle w:val="Caption"/>
        <w:rPr>
          <w:rFonts w:ascii="Calibri" w:hAnsi="Calibri" w:cs="Calibri"/>
        </w:rPr>
      </w:pPr>
      <w:bookmarkStart w:id="28" w:name="_Ref26349382"/>
      <w:r>
        <w:t>Figure</w:t>
      </w:r>
      <w:r w:rsidR="008740F1">
        <w:t xml:space="preserve"> </w:t>
      </w:r>
      <w:r w:rsidR="00E67EC2">
        <w:fldChar w:fldCharType="begin"/>
      </w:r>
      <w:r w:rsidR="00E67EC2">
        <w:instrText xml:space="preserve"> STYLEREF 1 \s </w:instrText>
      </w:r>
      <w:r w:rsidR="00E67EC2">
        <w:fldChar w:fldCharType="separate"/>
      </w:r>
      <w:r w:rsidR="00BE5F47">
        <w:rPr>
          <w:noProof/>
        </w:rPr>
        <w:t>3</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2</w:t>
      </w:r>
      <w:r w:rsidR="00E67EC2">
        <w:fldChar w:fldCharType="end"/>
      </w:r>
      <w:bookmarkEnd w:id="28"/>
      <w:r w:rsidR="008740F1">
        <w:t xml:space="preserve"> Locations of historical and recent dwarf galaxias records in Cardinia Creek </w:t>
      </w:r>
      <w:r w:rsidR="008740F1">
        <w:fldChar w:fldCharType="begin"/>
      </w:r>
      <w:r w:rsidR="008740F1">
        <w:instrText xml:space="preserve"> ADDIN EN.CITE &lt;EndNote&gt;&lt;Cite&gt;&lt;Author&gt;Biosis&lt;/Author&gt;&lt;Year&gt;2012&lt;/Year&gt;&lt;RecNum&gt;3693&lt;/RecNum&gt;&lt;Prefix&gt;adapted from &lt;/Prefix&gt;&lt;DisplayText&gt;(adapted from Biosis, 2012)&lt;/DisplayText&gt;&lt;record&gt;&lt;rec-number&gt;3693&lt;/rec-number&gt;&lt;foreign-keys&gt;&lt;key app="EN" db-id="d0s2errflvze20evzxyvr9xzwfwste2v9tf2" timestamp="1575428032"&gt;3693&lt;/key&gt;&lt;/foreign-keys&gt;&lt;ref-type name="Report"&gt;27&lt;/ref-type&gt;&lt;contributors&gt;&lt;authors&gt;&lt;author&gt;Biosis&lt;/author&gt;&lt;/authors&gt;&lt;tertiary-authors&gt;&lt;author&gt;Biosis Research Pty Ltd&lt;/author&gt;&lt;/tertiary-authors&gt;&lt;/contributors&gt;&lt;titles&gt;&lt;title&gt;Melbourne&amp;apos;s Strategic Assessment: Dwarf galaxias surveys for the South East Growth Corridor&lt;/title&gt;&lt;/titles&gt;&lt;dates&gt;&lt;year&gt;2012&lt;/year&gt;&lt;/dates&gt;&lt;urls&gt;&lt;/urls&gt;&lt;/record&gt;&lt;/Cite&gt;&lt;/EndNote&gt;</w:instrText>
      </w:r>
      <w:r w:rsidR="008740F1">
        <w:fldChar w:fldCharType="separate"/>
      </w:r>
      <w:r w:rsidR="008740F1">
        <w:rPr>
          <w:noProof/>
        </w:rPr>
        <w:t>(adapted from Biosis, 2012)</w:t>
      </w:r>
      <w:r w:rsidR="008740F1">
        <w:fldChar w:fldCharType="end"/>
      </w:r>
    </w:p>
    <w:p w14:paraId="6DB59390" w14:textId="4FAB9E8C" w:rsidR="008740F1" w:rsidRDefault="008740F1" w:rsidP="008740F1">
      <w:pPr>
        <w:pStyle w:val="Para0"/>
      </w:pPr>
      <w:r>
        <w:t>The Minta Farm</w:t>
      </w:r>
      <w:r w:rsidR="0024469B">
        <w:t xml:space="preserve"> record</w:t>
      </w:r>
      <w:r>
        <w:t xml:space="preserve"> site (site 128 and see </w:t>
      </w:r>
      <w:r>
        <w:fldChar w:fldCharType="begin"/>
      </w:r>
      <w:r>
        <w:instrText xml:space="preserve"> REF _Ref26534133 \h </w:instrText>
      </w:r>
      <w:r>
        <w:fldChar w:fldCharType="separate"/>
      </w:r>
      <w:r w:rsidR="00BE5F47">
        <w:t xml:space="preserve">Figure </w:t>
      </w:r>
      <w:r w:rsidR="00BE5F47">
        <w:rPr>
          <w:noProof/>
        </w:rPr>
        <w:t>3</w:t>
      </w:r>
      <w:r w:rsidR="00BE5F47">
        <w:noBreakHyphen/>
      </w:r>
      <w:r w:rsidR="00BE5F47">
        <w:rPr>
          <w:noProof/>
        </w:rPr>
        <w:t>3</w:t>
      </w:r>
      <w:r>
        <w:fldChar w:fldCharType="end"/>
      </w:r>
      <w:r>
        <w:t xml:space="preserve">) </w:t>
      </w:r>
      <w:r w:rsidR="0024469B">
        <w:t xml:space="preserve">is </w:t>
      </w:r>
      <w:r>
        <w:t>an anabranch of Cardinia Creek located on the western side of the creek within a narrow, inset floodplain comprising Swampy Riparian Woodland EVC</w:t>
      </w:r>
      <w:r w:rsidR="00A14F52">
        <w:t xml:space="preserve"> (</w:t>
      </w:r>
      <w:r w:rsidR="00A14F52">
        <w:fldChar w:fldCharType="begin"/>
      </w:r>
      <w:r w:rsidR="00A14F52">
        <w:instrText xml:space="preserve"> REF _Ref42599015 \h </w:instrText>
      </w:r>
      <w:r w:rsidR="00A14F52">
        <w:fldChar w:fldCharType="separate"/>
      </w:r>
      <w:r w:rsidR="00BE5F47">
        <w:t xml:space="preserve">Figure </w:t>
      </w:r>
      <w:r w:rsidR="00BE5F47">
        <w:rPr>
          <w:noProof/>
        </w:rPr>
        <w:t>3</w:t>
      </w:r>
      <w:r w:rsidR="00BE5F47">
        <w:noBreakHyphen/>
      </w:r>
      <w:r w:rsidR="00BE5F47">
        <w:rPr>
          <w:noProof/>
        </w:rPr>
        <w:t>4</w:t>
      </w:r>
      <w:r w:rsidR="00A14F52">
        <w:fldChar w:fldCharType="end"/>
      </w:r>
      <w:r w:rsidR="00A14F52">
        <w:t>)</w:t>
      </w:r>
      <w:r>
        <w:t xml:space="preserve">.  The anabranch is located against the eastern base of an embankment and appears to contain both short-term and long-term refuge habitat. </w:t>
      </w:r>
      <w:r w:rsidR="0024469B">
        <w:t xml:space="preserve"> </w:t>
      </w:r>
      <w:r>
        <w:t xml:space="preserve">It is also connected to Cardinia Creek </w:t>
      </w:r>
      <w:r w:rsidR="0024469B">
        <w:t xml:space="preserve">and </w:t>
      </w:r>
      <w:r>
        <w:t>receive</w:t>
      </w:r>
      <w:r w:rsidR="0024469B">
        <w:t>s</w:t>
      </w:r>
      <w:r>
        <w:t xml:space="preserve"> inundation from time to time during higher flow events.  This would enable the re-wetting of short-term habitat and provide opportunities for dispersal and movement into spawning habitats.  </w:t>
      </w:r>
      <w:r w:rsidR="00A14F52">
        <w:t>T</w:t>
      </w:r>
      <w:r>
        <w:t xml:space="preserve">he anabranch </w:t>
      </w:r>
      <w:r w:rsidR="00A14F52">
        <w:t xml:space="preserve">also </w:t>
      </w:r>
      <w:r>
        <w:t>receives occasional overflows from lakes on Minta Farm directly into the anabranch (</w:t>
      </w:r>
      <w:r w:rsidR="00DF26B2">
        <w:t xml:space="preserve">see </w:t>
      </w:r>
      <w:r w:rsidR="0024469B">
        <w:fldChar w:fldCharType="begin"/>
      </w:r>
      <w:r w:rsidR="0024469B">
        <w:instrText xml:space="preserve"> REF _Ref42599015 \h </w:instrText>
      </w:r>
      <w:r w:rsidR="0024469B">
        <w:fldChar w:fldCharType="separate"/>
      </w:r>
      <w:r w:rsidR="00BE5F47">
        <w:t xml:space="preserve">Figure </w:t>
      </w:r>
      <w:r w:rsidR="00BE5F47">
        <w:rPr>
          <w:noProof/>
        </w:rPr>
        <w:t>3</w:t>
      </w:r>
      <w:r w:rsidR="00BE5F47">
        <w:noBreakHyphen/>
      </w:r>
      <w:r w:rsidR="00BE5F47">
        <w:rPr>
          <w:noProof/>
        </w:rPr>
        <w:t>4</w:t>
      </w:r>
      <w:r w:rsidR="0024469B">
        <w:fldChar w:fldCharType="end"/>
      </w:r>
      <w:r w:rsidR="00A14F52">
        <w:t>G</w:t>
      </w:r>
      <w:r>
        <w:t xml:space="preserve">) and </w:t>
      </w:r>
      <w:r w:rsidR="00A14F52">
        <w:t xml:space="preserve">it is </w:t>
      </w:r>
      <w:r>
        <w:t>possible</w:t>
      </w:r>
      <w:r w:rsidR="0024469B">
        <w:t xml:space="preserve"> that</w:t>
      </w:r>
      <w:r>
        <w:t xml:space="preserve"> seepage through the embankment helps maintain moist conditions.</w:t>
      </w:r>
    </w:p>
    <w:p w14:paraId="69EAFB23" w14:textId="7231FBFB" w:rsidR="008740F1" w:rsidRDefault="00EC3EE7" w:rsidP="008740F1">
      <w:pPr>
        <w:pStyle w:val="Para0"/>
      </w:pPr>
      <w:r>
        <w:rPr>
          <w:noProof/>
        </w:rPr>
        <w:drawing>
          <wp:inline distT="0" distB="0" distL="0" distR="0" wp14:anchorId="029CB9A8" wp14:editId="0E553F0B">
            <wp:extent cx="3871784" cy="2792627"/>
            <wp:effectExtent l="0" t="0" r="0" b="8255"/>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5" cstate="email">
                      <a:extLst>
                        <a:ext uri="{28A0092B-C50C-407E-A947-70E740481C1C}">
                          <a14:useLocalDpi xmlns:a14="http://schemas.microsoft.com/office/drawing/2010/main"/>
                        </a:ext>
                      </a:extLst>
                    </a:blip>
                    <a:stretch>
                      <a:fillRect/>
                    </a:stretch>
                  </pic:blipFill>
                  <pic:spPr>
                    <a:xfrm>
                      <a:off x="0" y="0"/>
                      <a:ext cx="3882324" cy="2800229"/>
                    </a:xfrm>
                    <a:prstGeom prst="rect">
                      <a:avLst/>
                    </a:prstGeom>
                  </pic:spPr>
                </pic:pic>
              </a:graphicData>
            </a:graphic>
          </wp:inline>
        </w:drawing>
      </w:r>
    </w:p>
    <w:p w14:paraId="76B1696B" w14:textId="2B8A57F0" w:rsidR="008740F1" w:rsidRDefault="00252BBF" w:rsidP="008740F1">
      <w:pPr>
        <w:pStyle w:val="Caption"/>
      </w:pPr>
      <w:bookmarkStart w:id="29" w:name="_Ref26534133"/>
      <w:r>
        <w:t>Figure</w:t>
      </w:r>
      <w:r w:rsidR="008740F1">
        <w:t xml:space="preserve"> </w:t>
      </w:r>
      <w:r w:rsidR="00E67EC2">
        <w:fldChar w:fldCharType="begin"/>
      </w:r>
      <w:r w:rsidR="00E67EC2">
        <w:instrText xml:space="preserve"> STYLEREF 1 \s </w:instrText>
      </w:r>
      <w:r w:rsidR="00E67EC2">
        <w:fldChar w:fldCharType="separate"/>
      </w:r>
      <w:r w:rsidR="00BE5F47">
        <w:rPr>
          <w:noProof/>
        </w:rPr>
        <w:t>3</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3</w:t>
      </w:r>
      <w:r w:rsidR="00E67EC2">
        <w:fldChar w:fldCharType="end"/>
      </w:r>
      <w:bookmarkEnd w:id="29"/>
      <w:r w:rsidR="008740F1">
        <w:t xml:space="preserve"> Site 128 - dwarf galaxias record in an anabranch of Cardinia Creek adjacent to lakes on Minta Farm </w:t>
      </w:r>
      <w:r w:rsidR="008740F1">
        <w:fldChar w:fldCharType="begin"/>
      </w:r>
      <w:r w:rsidR="008740F1">
        <w:instrText xml:space="preserve"> ADDIN EN.CITE &lt;EndNote&gt;&lt;Cite&gt;&lt;Author&gt;Biosis&lt;/Author&gt;&lt;Year&gt;2012&lt;/Year&gt;&lt;RecNum&gt;3693&lt;/RecNum&gt;&lt;Prefix&gt;source &lt;/Prefix&gt;&lt;DisplayText&gt;(source Biosis, 2012)&lt;/DisplayText&gt;&lt;record&gt;&lt;rec-number&gt;3693&lt;/rec-number&gt;&lt;foreign-keys&gt;&lt;key app="EN" db-id="d0s2errflvze20evzxyvr9xzwfwste2v9tf2" timestamp="1575428032"&gt;3693&lt;/key&gt;&lt;/foreign-keys&gt;&lt;ref-type name="Report"&gt;27&lt;/ref-type&gt;&lt;contributors&gt;&lt;authors&gt;&lt;author&gt;Biosis&lt;/author&gt;&lt;/authors&gt;&lt;tertiary-authors&gt;&lt;author&gt;Biosis Research Pty Ltd&lt;/author&gt;&lt;/tertiary-authors&gt;&lt;/contributors&gt;&lt;titles&gt;&lt;title&gt;Melbourne&amp;apos;s Strategic Assessment: Dwarf galaxias surveys for the South East Growth Corridor&lt;/title&gt;&lt;/titles&gt;&lt;dates&gt;&lt;year&gt;2012&lt;/year&gt;&lt;/dates&gt;&lt;urls&gt;&lt;/urls&gt;&lt;/record&gt;&lt;/Cite&gt;&lt;/EndNote&gt;</w:instrText>
      </w:r>
      <w:r w:rsidR="008740F1">
        <w:fldChar w:fldCharType="separate"/>
      </w:r>
      <w:r w:rsidR="008740F1">
        <w:rPr>
          <w:noProof/>
        </w:rPr>
        <w:t>(source Biosis, 2012)</w:t>
      </w:r>
      <w:r w:rsidR="008740F1">
        <w:fldChar w:fldCharType="end"/>
      </w:r>
    </w:p>
    <w:p w14:paraId="2A0FD781" w14:textId="77777777" w:rsidR="00A14F52" w:rsidRDefault="00A14F52" w:rsidP="00A14F52">
      <w:pPr>
        <w:pStyle w:val="Para0"/>
      </w:pPr>
    </w:p>
    <w:p w14:paraId="3CCB3D90" w14:textId="77777777" w:rsidR="00A14F52" w:rsidRDefault="00A14F52" w:rsidP="00A14F52">
      <w:pPr>
        <w:pStyle w:val="Para0"/>
        <w:sectPr w:rsidR="00A14F52" w:rsidSect="00204A7E">
          <w:headerReference w:type="default" r:id="rId36"/>
          <w:footerReference w:type="default" r:id="rId37"/>
          <w:pgSz w:w="11901" w:h="16840" w:code="9"/>
          <w:pgMar w:top="567" w:right="851" w:bottom="851" w:left="1134" w:header="567" w:footer="370" w:gutter="0"/>
          <w:pgNumType w:start="1"/>
          <w:cols w:space="0"/>
          <w:formProt w:val="0"/>
          <w:docGrid w:linePitch="360"/>
        </w:sectPr>
      </w:pPr>
    </w:p>
    <w:p w14:paraId="5C05A503" w14:textId="77777777" w:rsidR="00A14F52" w:rsidRDefault="00A14F52" w:rsidP="00A14F52">
      <w:pPr>
        <w:pStyle w:val="Caption"/>
      </w:pPr>
      <w:r>
        <w:rPr>
          <w:noProof/>
        </w:rPr>
        <w:lastRenderedPageBreak/>
        <w:drawing>
          <wp:inline distT="0" distB="0" distL="0" distR="0" wp14:anchorId="70CB8B44" wp14:editId="4BAA9CE0">
            <wp:extent cx="8863330" cy="4878705"/>
            <wp:effectExtent l="0" t="0" r="0" b="0"/>
            <wp:docPr id="6155" name="Picture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8863330" cy="4878705"/>
                    </a:xfrm>
                    <a:prstGeom prst="rect">
                      <a:avLst/>
                    </a:prstGeom>
                  </pic:spPr>
                </pic:pic>
              </a:graphicData>
            </a:graphic>
          </wp:inline>
        </w:drawing>
      </w:r>
    </w:p>
    <w:p w14:paraId="5F984CEA" w14:textId="533A24C5" w:rsidR="00A14F52" w:rsidRDefault="00252BBF" w:rsidP="00A14F52">
      <w:pPr>
        <w:pStyle w:val="Caption"/>
        <w:sectPr w:rsidR="00A14F52" w:rsidSect="00DB5646">
          <w:pgSz w:w="16840" w:h="11901" w:orient="landscape" w:code="9"/>
          <w:pgMar w:top="1134" w:right="567" w:bottom="851" w:left="851" w:header="567" w:footer="370" w:gutter="0"/>
          <w:cols w:space="0"/>
          <w:formProt w:val="0"/>
          <w:docGrid w:linePitch="360"/>
        </w:sectPr>
      </w:pPr>
      <w:bookmarkStart w:id="30" w:name="_Ref42599015"/>
      <w:r>
        <w:t>Figure</w:t>
      </w:r>
      <w:r w:rsidR="00A14F52">
        <w:t xml:space="preserve"> </w:t>
      </w:r>
      <w:r w:rsidR="00E67EC2">
        <w:fldChar w:fldCharType="begin"/>
      </w:r>
      <w:r w:rsidR="00E67EC2">
        <w:instrText xml:space="preserve"> STYLEREF 1 \s </w:instrText>
      </w:r>
      <w:r w:rsidR="00E67EC2">
        <w:fldChar w:fldCharType="separate"/>
      </w:r>
      <w:r w:rsidR="00BE5F47">
        <w:rPr>
          <w:noProof/>
        </w:rPr>
        <w:t>3</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4</w:t>
      </w:r>
      <w:r w:rsidR="00E67EC2">
        <w:fldChar w:fldCharType="end"/>
      </w:r>
      <w:bookmarkEnd w:id="30"/>
      <w:r w:rsidR="00A14F52">
        <w:t xml:space="preserve"> </w:t>
      </w:r>
      <w:r w:rsidR="00A14F52" w:rsidRPr="008740F1">
        <w:t>Cardinia Creek Dwarf galaxias habita</w:t>
      </w:r>
      <w:r w:rsidR="00A14F52">
        <w:t>t, from site visit photos</w:t>
      </w:r>
    </w:p>
    <w:p w14:paraId="0F2629CE" w14:textId="2ADFD310" w:rsidR="008740F1" w:rsidRDefault="008740F1" w:rsidP="008740F1">
      <w:pPr>
        <w:pStyle w:val="Para0"/>
      </w:pPr>
      <w:r>
        <w:lastRenderedPageBreak/>
        <w:t xml:space="preserve">Dwarf </w:t>
      </w:r>
      <w:r w:rsidR="0024469B">
        <w:t>g</w:t>
      </w:r>
      <w:r>
        <w:t>alaxias have also been recorded from an anabranch downstream of Minta Farm and upstream of the Cardinia Creek drop structure (</w:t>
      </w:r>
      <w:r w:rsidR="0024469B">
        <w:fldChar w:fldCharType="begin"/>
      </w:r>
      <w:r w:rsidR="0024469B">
        <w:instrText xml:space="preserve"> REF _Ref26534417 \h </w:instrText>
      </w:r>
      <w:r w:rsidR="0024469B">
        <w:fldChar w:fldCharType="separate"/>
      </w:r>
      <w:r w:rsidR="00BE5F47">
        <w:t xml:space="preserve">Figure </w:t>
      </w:r>
      <w:r w:rsidR="00BE5F47">
        <w:rPr>
          <w:noProof/>
        </w:rPr>
        <w:t>3</w:t>
      </w:r>
      <w:r w:rsidR="00BE5F47">
        <w:noBreakHyphen/>
      </w:r>
      <w:r w:rsidR="00BE5F47">
        <w:rPr>
          <w:noProof/>
        </w:rPr>
        <w:t>5</w:t>
      </w:r>
      <w:r w:rsidR="0024469B">
        <w:fldChar w:fldCharType="end"/>
      </w:r>
      <w:r>
        <w:t xml:space="preserve">).  This site was not visited as part of the current study, but based on the description of </w:t>
      </w:r>
      <w:r>
        <w:fldChar w:fldCharType="begin"/>
      </w:r>
      <w:r>
        <w:instrText xml:space="preserve"> ADDIN EN.CITE &lt;EndNote&gt;&lt;Cite AuthorYear="1"&gt;&lt;Author&gt;Biosis&lt;/Author&gt;&lt;Year&gt;2012&lt;/Year&gt;&lt;RecNum&gt;3693&lt;/RecNum&gt;&lt;DisplayText&gt;Biosis (2012)&lt;/DisplayText&gt;&lt;record&gt;&lt;rec-number&gt;3693&lt;/rec-number&gt;&lt;foreign-keys&gt;&lt;key app="EN" db-id="d0s2errflvze20evzxyvr9xzwfwste2v9tf2" timestamp="1575428032"&gt;3693&lt;/key&gt;&lt;/foreign-keys&gt;&lt;ref-type name="Report"&gt;27&lt;/ref-type&gt;&lt;contributors&gt;&lt;authors&gt;&lt;author&gt;Biosis&lt;/author&gt;&lt;/authors&gt;&lt;tertiary-authors&gt;&lt;author&gt;Biosis Research Pty Ltd&lt;/author&gt;&lt;/tertiary-authors&gt;&lt;/contributors&gt;&lt;titles&gt;&lt;title&gt;Melbourne&amp;apos;s Strategic Assessment: Dwarf galaxias surveys for the South East Growth Corridor&lt;/title&gt;&lt;/titles&gt;&lt;dates&gt;&lt;year&gt;2012&lt;/year&gt;&lt;/dates&gt;&lt;urls&gt;&lt;/urls&gt;&lt;/record&gt;&lt;/Cite&gt;&lt;/EndNote&gt;</w:instrText>
      </w:r>
      <w:r>
        <w:fldChar w:fldCharType="separate"/>
      </w:r>
      <w:r>
        <w:rPr>
          <w:noProof/>
        </w:rPr>
        <w:t>Biosis (2012)</w:t>
      </w:r>
      <w:r>
        <w:fldChar w:fldCharType="end"/>
      </w:r>
      <w:r>
        <w:t xml:space="preserve"> appears to contain similar habitat to site 128.  Cardinia Creek downstream of the Cardinia Creek drop structure does not appear to be suitable dwarf galaxias habitat, although some off-channel wetlands around McCormacks Road have been identified as potential habitat </w:t>
      </w:r>
      <w:r>
        <w:fldChar w:fldCharType="begin"/>
      </w:r>
      <w:r>
        <w:instrText xml:space="preserve"> ADDIN EN.CITE &lt;EndNote&gt;&lt;Cite&gt;&lt;Author&gt;GHD&lt;/Author&gt;&lt;Year&gt;2017&lt;/Year&gt;&lt;RecNum&gt;3699&lt;/RecNum&gt;&lt;DisplayText&gt;(GHD, 2017)&lt;/DisplayText&gt;&lt;record&gt;&lt;rec-number&gt;3699&lt;/rec-number&gt;&lt;foreign-keys&gt;&lt;key app="EN" db-id="d0s2errflvze20evzxyvr9xzwfwste2v9tf2" timestamp="1575595229"&gt;3699&lt;/key&gt;&lt;/foreign-keys&gt;&lt;ref-type name="Report"&gt;27&lt;/ref-type&gt;&lt;contributors&gt;&lt;authors&gt;&lt;author&gt;GHD&lt;/author&gt;&lt;/authors&gt;&lt;tertiary-authors&gt;&lt;author&gt;Report to the Victorian Planning Authority&lt;/author&gt;&lt;/tertiary-authors&gt;&lt;/contributors&gt;&lt;titles&gt;&lt;title&gt;Cardinia Creek conservation area Australian grayling and dwarf galaxias assessment&lt;/title&gt;&lt;/titles&gt;&lt;dates&gt;&lt;year&gt;2017&lt;/year&gt;&lt;/dates&gt;&lt;urls&gt;&lt;/urls&gt;&lt;/record&gt;&lt;/Cite&gt;&lt;/EndNote&gt;</w:instrText>
      </w:r>
      <w:r>
        <w:fldChar w:fldCharType="separate"/>
      </w:r>
      <w:r>
        <w:rPr>
          <w:noProof/>
        </w:rPr>
        <w:t>(GHD, 2017)</w:t>
      </w:r>
      <w:r>
        <w:fldChar w:fldCharType="end"/>
      </w:r>
      <w:r>
        <w:t xml:space="preserve">  </w:t>
      </w:r>
    </w:p>
    <w:p w14:paraId="4EC2F090" w14:textId="77777777" w:rsidR="0024469B" w:rsidRDefault="0024469B" w:rsidP="0024469B">
      <w:pPr>
        <w:rPr>
          <w:rFonts w:ascii="Calibri" w:hAnsi="Calibri" w:cs="Calibri"/>
          <w:szCs w:val="20"/>
        </w:rPr>
      </w:pPr>
      <w:r>
        <w:rPr>
          <w:noProof/>
        </w:rPr>
        <w:drawing>
          <wp:inline distT="0" distB="0" distL="0" distR="0" wp14:anchorId="6497564E" wp14:editId="16B1E4DB">
            <wp:extent cx="3995351" cy="2973860"/>
            <wp:effectExtent l="0" t="0" r="5715"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cstate="email">
                      <a:extLst>
                        <a:ext uri="{28A0092B-C50C-407E-A947-70E740481C1C}">
                          <a14:useLocalDpi xmlns:a14="http://schemas.microsoft.com/office/drawing/2010/main"/>
                        </a:ext>
                      </a:extLst>
                    </a:blip>
                    <a:stretch>
                      <a:fillRect/>
                    </a:stretch>
                  </pic:blipFill>
                  <pic:spPr>
                    <a:xfrm>
                      <a:off x="0" y="0"/>
                      <a:ext cx="3998253" cy="2976020"/>
                    </a:xfrm>
                    <a:prstGeom prst="rect">
                      <a:avLst/>
                    </a:prstGeom>
                  </pic:spPr>
                </pic:pic>
              </a:graphicData>
            </a:graphic>
          </wp:inline>
        </w:drawing>
      </w:r>
    </w:p>
    <w:p w14:paraId="27939A68" w14:textId="210574CE" w:rsidR="0024469B" w:rsidRDefault="00252BBF" w:rsidP="0024469B">
      <w:pPr>
        <w:pStyle w:val="Caption"/>
        <w:rPr>
          <w:rFonts w:ascii="Calibri" w:hAnsi="Calibri" w:cs="Calibri"/>
          <w:szCs w:val="20"/>
        </w:rPr>
      </w:pPr>
      <w:bookmarkStart w:id="31" w:name="_Ref26534417"/>
      <w:r>
        <w:t>Figure</w:t>
      </w:r>
      <w:r w:rsidR="0024469B">
        <w:t xml:space="preserve"> </w:t>
      </w:r>
      <w:r w:rsidR="00E67EC2">
        <w:fldChar w:fldCharType="begin"/>
      </w:r>
      <w:r w:rsidR="00E67EC2">
        <w:instrText xml:space="preserve"> STYLEREF 1 \s </w:instrText>
      </w:r>
      <w:r w:rsidR="00E67EC2">
        <w:fldChar w:fldCharType="separate"/>
      </w:r>
      <w:r w:rsidR="00BE5F47">
        <w:rPr>
          <w:noProof/>
        </w:rPr>
        <w:t>3</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5</w:t>
      </w:r>
      <w:r w:rsidR="00E67EC2">
        <w:fldChar w:fldCharType="end"/>
      </w:r>
      <w:bookmarkEnd w:id="31"/>
      <w:r w:rsidR="0024469B">
        <w:t xml:space="preserve"> Site 72 - dwarf galaxias record in an anabranch of Cardinia Creek upstream of the Cardinia Creek drop structure </w:t>
      </w:r>
      <w:r w:rsidR="0024469B">
        <w:fldChar w:fldCharType="begin"/>
      </w:r>
      <w:r w:rsidR="0024469B">
        <w:instrText xml:space="preserve"> ADDIN EN.CITE &lt;EndNote&gt;&lt;Cite&gt;&lt;Author&gt;Biosis&lt;/Author&gt;&lt;Year&gt;2012&lt;/Year&gt;&lt;RecNum&gt;3693&lt;/RecNum&gt;&lt;Prefix&gt;source &lt;/Prefix&gt;&lt;DisplayText&gt;(source Biosis, 2012)&lt;/DisplayText&gt;&lt;record&gt;&lt;rec-number&gt;3693&lt;/rec-number&gt;&lt;foreign-keys&gt;&lt;key app="EN" db-id="d0s2errflvze20evzxyvr9xzwfwste2v9tf2" timestamp="1575428032"&gt;3693&lt;/key&gt;&lt;/foreign-keys&gt;&lt;ref-type name="Report"&gt;27&lt;/ref-type&gt;&lt;contributors&gt;&lt;authors&gt;&lt;author&gt;Biosis&lt;/author&gt;&lt;/authors&gt;&lt;tertiary-authors&gt;&lt;author&gt;Biosis Research Pty Ltd&lt;/author&gt;&lt;/tertiary-authors&gt;&lt;/contributors&gt;&lt;titles&gt;&lt;title&gt;Melbourne&amp;apos;s Strategic Assessment: Dwarf galaxias surveys for the South East Growth Corridor&lt;/title&gt;&lt;/titles&gt;&lt;dates&gt;&lt;year&gt;2012&lt;/year&gt;&lt;/dates&gt;&lt;urls&gt;&lt;/urls&gt;&lt;/record&gt;&lt;/Cite&gt;&lt;/EndNote&gt;</w:instrText>
      </w:r>
      <w:r w:rsidR="0024469B">
        <w:fldChar w:fldCharType="separate"/>
      </w:r>
      <w:r w:rsidR="0024469B">
        <w:rPr>
          <w:noProof/>
        </w:rPr>
        <w:t>(source Biosis, 2012)</w:t>
      </w:r>
      <w:r w:rsidR="0024469B">
        <w:fldChar w:fldCharType="end"/>
      </w:r>
    </w:p>
    <w:p w14:paraId="133511A0" w14:textId="77777777" w:rsidR="008740F1" w:rsidRDefault="008740F1" w:rsidP="008740F1">
      <w:pPr>
        <w:pStyle w:val="Para0"/>
      </w:pPr>
      <w:r>
        <w:t>Collectively the populations are likely to be part of a broader population that includes those recorded upstream of the Pakenham Bypass.  Preferred habitats are associated with the Cardinia Creek floodplain (such as the anabranches at site 72 and 128). During high flow events fish from localised populations are likely to move between long-term habitats and colonise spawning and short-term habitats, using Cardinia Creek as a temporary dispersal habitat</w:t>
      </w:r>
      <w:r w:rsidR="0024469B">
        <w:t>.</w:t>
      </w:r>
      <w:r>
        <w:t xml:space="preserve"> The protection of these anabranch habitat types and the flow regime required to provide seasonal wetting and drying is necessary for the protection of the current dwarf galaxias population.</w:t>
      </w:r>
    </w:p>
    <w:p w14:paraId="2CBE7B05" w14:textId="77777777" w:rsidR="00A908B4" w:rsidRDefault="00A908B4" w:rsidP="00A908B4">
      <w:pPr>
        <w:pStyle w:val="Heading3"/>
      </w:pPr>
      <w:bookmarkStart w:id="32" w:name="_Toc27065909"/>
      <w:bookmarkStart w:id="33" w:name="_Toc69480697"/>
      <w:r>
        <w:t>Critical flow components</w:t>
      </w:r>
      <w:bookmarkEnd w:id="32"/>
      <w:bookmarkEnd w:id="33"/>
    </w:p>
    <w:p w14:paraId="2FB2F073" w14:textId="0A5618C5" w:rsidR="00575F5C" w:rsidRDefault="00A908B4" w:rsidP="00575F5C">
      <w:r>
        <w:t xml:space="preserve">Critical components of the flow regime </w:t>
      </w:r>
      <w:r w:rsidR="00575F5C">
        <w:t xml:space="preserve">for dwarf galaxias </w:t>
      </w:r>
      <w:r>
        <w:t xml:space="preserve">are high flows that inundate </w:t>
      </w:r>
      <w:r w:rsidR="00575F5C">
        <w:t xml:space="preserve">pools, </w:t>
      </w:r>
      <w:r>
        <w:t>anabranches and other floodplain wetland habitats</w:t>
      </w:r>
      <w:r w:rsidR="00575F5C">
        <w:t xml:space="preserve"> located at Minta Farm and north of the Cardinia Creek drop structure</w:t>
      </w:r>
      <w:r>
        <w:t xml:space="preserve">. </w:t>
      </w:r>
      <w:r w:rsidR="00575F5C">
        <w:t>The pool and anabranch habitat that is inundated at high flows also relies on variation in streamflows</w:t>
      </w:r>
      <w:r w:rsidR="00D43248">
        <w:t xml:space="preserve"> including periods of low flow,</w:t>
      </w:r>
      <w:r w:rsidR="00575F5C">
        <w:t xml:space="preserve"> to maintain a natural wetting and drying cycle in the anabranches.</w:t>
      </w:r>
    </w:p>
    <w:p w14:paraId="4BFF83B9" w14:textId="739844F1" w:rsidR="00C023C8" w:rsidRDefault="00A14F52" w:rsidP="00575F5C">
      <w:r>
        <w:t>High flows are required to inundate these habitats.  Hence, th</w:t>
      </w:r>
      <w:r w:rsidR="00575F5C">
        <w:t>ere should be no change in the timing, frequency or duration of flows in Cardinia Creek that inundate these anabranch habitats.  A reduction in high flows would lead to a reduction in inundation and potential loss of habitat, loss of connections and loss of spawning triggers.</w:t>
      </w:r>
      <w:r w:rsidR="00E63871">
        <w:t xml:space="preserve">  However, an increase in the </w:t>
      </w:r>
      <w:r w:rsidR="00C023C8" w:rsidRPr="003F0A8D">
        <w:t>frequency and duration of high flows that create continuous flow through anabranch habitats</w:t>
      </w:r>
      <w:r w:rsidR="00C023C8">
        <w:t xml:space="preserve"> (</w:t>
      </w:r>
      <w:r w:rsidR="00C023C8" w:rsidRPr="003F0A8D">
        <w:t>especially in summer and autumn</w:t>
      </w:r>
      <w:r w:rsidR="00C023C8">
        <w:t xml:space="preserve">) </w:t>
      </w:r>
      <w:r w:rsidR="00E63871">
        <w:t xml:space="preserve">would </w:t>
      </w:r>
      <w:r w:rsidR="00C023C8" w:rsidRPr="003F0A8D">
        <w:t>create unsuitable hydraulic conditions and favour colonisation by predatory mosquito fish.</w:t>
      </w:r>
      <w:r w:rsidR="00833387">
        <w:t xml:space="preserve"> </w:t>
      </w:r>
      <w:r w:rsidR="00D43248">
        <w:t>An increase in high flows should also therefore be avoided.</w:t>
      </w:r>
    </w:p>
    <w:p w14:paraId="5828842E" w14:textId="27606A10" w:rsidR="00BB7F95" w:rsidRDefault="007159A8" w:rsidP="007159A8">
      <w:pPr>
        <w:pStyle w:val="Heading2"/>
        <w:rPr>
          <w:lang w:val="en-AU"/>
        </w:rPr>
      </w:pPr>
      <w:bookmarkStart w:id="34" w:name="_Toc69480698"/>
      <w:r>
        <w:rPr>
          <w:lang w:val="en-AU"/>
        </w:rPr>
        <w:t xml:space="preserve">Australian </w:t>
      </w:r>
      <w:r w:rsidR="0045757F">
        <w:rPr>
          <w:lang w:val="en-AU"/>
        </w:rPr>
        <w:t>grayling</w:t>
      </w:r>
      <w:bookmarkEnd w:id="34"/>
    </w:p>
    <w:p w14:paraId="7802E409" w14:textId="77777777" w:rsidR="00C360C5" w:rsidRDefault="00C360C5" w:rsidP="00C360C5">
      <w:pPr>
        <w:pStyle w:val="Heading3"/>
        <w:rPr>
          <w:lang w:val="en-AU"/>
        </w:rPr>
      </w:pPr>
      <w:bookmarkStart w:id="35" w:name="_Toc27065911"/>
      <w:bookmarkStart w:id="36" w:name="_Toc69480699"/>
      <w:r>
        <w:rPr>
          <w:lang w:val="en-AU"/>
        </w:rPr>
        <w:t>Habitat and flow requirements</w:t>
      </w:r>
      <w:bookmarkEnd w:id="35"/>
      <w:bookmarkEnd w:id="36"/>
    </w:p>
    <w:p w14:paraId="21F32B73" w14:textId="79FB087B" w:rsidR="00C360C5" w:rsidRDefault="00C360C5" w:rsidP="00C360C5">
      <w:pPr>
        <w:pStyle w:val="Para0"/>
        <w:rPr>
          <w:lang w:val="en-AU"/>
        </w:rPr>
      </w:pPr>
      <w:r>
        <w:rPr>
          <w:lang w:val="en-AU"/>
        </w:rPr>
        <w:t xml:space="preserve">Australian </w:t>
      </w:r>
      <w:r w:rsidR="0045757F">
        <w:rPr>
          <w:lang w:val="en-AU"/>
        </w:rPr>
        <w:t>grayling</w:t>
      </w:r>
      <w:r>
        <w:rPr>
          <w:lang w:val="en-AU"/>
        </w:rPr>
        <w:t xml:space="preserve"> </w:t>
      </w:r>
      <w:r w:rsidR="00D32317">
        <w:rPr>
          <w:lang w:val="en-AU"/>
        </w:rPr>
        <w:t>(</w:t>
      </w:r>
      <w:r w:rsidR="00D32317">
        <w:rPr>
          <w:lang w:val="en-AU"/>
        </w:rPr>
        <w:fldChar w:fldCharType="begin"/>
      </w:r>
      <w:r w:rsidR="00D32317">
        <w:rPr>
          <w:lang w:val="en-AU"/>
        </w:rPr>
        <w:instrText xml:space="preserve"> REF _Ref42600605 \h </w:instrText>
      </w:r>
      <w:r w:rsidR="00D32317">
        <w:rPr>
          <w:lang w:val="en-AU"/>
        </w:rPr>
      </w:r>
      <w:r w:rsidR="00D32317">
        <w:rPr>
          <w:lang w:val="en-AU"/>
        </w:rPr>
        <w:fldChar w:fldCharType="separate"/>
      </w:r>
      <w:r w:rsidR="00BE5F47">
        <w:t xml:space="preserve">Figure </w:t>
      </w:r>
      <w:r w:rsidR="00BE5F47">
        <w:rPr>
          <w:noProof/>
        </w:rPr>
        <w:t>3</w:t>
      </w:r>
      <w:r w:rsidR="00BE5F47">
        <w:noBreakHyphen/>
      </w:r>
      <w:r w:rsidR="00BE5F47">
        <w:rPr>
          <w:noProof/>
        </w:rPr>
        <w:t>6</w:t>
      </w:r>
      <w:r w:rsidR="00D32317">
        <w:rPr>
          <w:lang w:val="en-AU"/>
        </w:rPr>
        <w:fldChar w:fldCharType="end"/>
      </w:r>
      <w:r w:rsidR="00D32317">
        <w:rPr>
          <w:lang w:val="en-AU"/>
        </w:rPr>
        <w:t xml:space="preserve">) </w:t>
      </w:r>
      <w:r>
        <w:rPr>
          <w:lang w:val="en-AU"/>
        </w:rPr>
        <w:t>are endemic to coastal streams in south</w:t>
      </w:r>
      <w:r w:rsidR="00D32317">
        <w:rPr>
          <w:lang w:val="en-AU"/>
        </w:rPr>
        <w:t xml:space="preserve"> </w:t>
      </w:r>
      <w:r>
        <w:rPr>
          <w:lang w:val="en-AU"/>
        </w:rPr>
        <w:t xml:space="preserve">eastern Australia including Cardinia Creek and the </w:t>
      </w:r>
      <w:r w:rsidR="00D43248">
        <w:rPr>
          <w:lang w:val="en-AU"/>
        </w:rPr>
        <w:t>nearby</w:t>
      </w:r>
      <w:r>
        <w:rPr>
          <w:lang w:val="en-AU"/>
        </w:rPr>
        <w:t xml:space="preserve"> Bunyip River.  They are vulnerable in Victoria and listed as threatened under the </w:t>
      </w:r>
      <w:r w:rsidRPr="004A548B">
        <w:rPr>
          <w:i/>
          <w:lang w:val="en-AU"/>
        </w:rPr>
        <w:t xml:space="preserve">Flora and </w:t>
      </w:r>
      <w:r w:rsidRPr="004A548B">
        <w:rPr>
          <w:i/>
          <w:lang w:val="en-AU"/>
        </w:rPr>
        <w:lastRenderedPageBreak/>
        <w:t>Fauna Guarantee Act</w:t>
      </w:r>
      <w:r w:rsidRPr="004A548B">
        <w:rPr>
          <w:lang w:val="en-AU"/>
        </w:rPr>
        <w:t xml:space="preserve"> </w:t>
      </w:r>
      <w:r>
        <w:rPr>
          <w:lang w:val="en-AU"/>
        </w:rPr>
        <w:t xml:space="preserve">(1988) and are listed as vulnerable under the Commonwealth </w:t>
      </w:r>
      <w:r w:rsidRPr="007D7856">
        <w:rPr>
          <w:i/>
          <w:lang w:val="en-AU"/>
        </w:rPr>
        <w:t xml:space="preserve">Environment Protection and Biodiversity Conservation (EPBC) Act </w:t>
      </w:r>
      <w:r>
        <w:rPr>
          <w:lang w:val="en-AU"/>
        </w:rPr>
        <w:t xml:space="preserve">(1999). </w:t>
      </w:r>
    </w:p>
    <w:p w14:paraId="14F025D8" w14:textId="31D188AD" w:rsidR="00D32317" w:rsidRDefault="00D32317" w:rsidP="00C360C5">
      <w:pPr>
        <w:pStyle w:val="Para0"/>
        <w:rPr>
          <w:lang w:val="en-AU"/>
        </w:rPr>
      </w:pPr>
      <w:r>
        <w:rPr>
          <w:noProof/>
        </w:rPr>
        <w:drawing>
          <wp:inline distT="0" distB="0" distL="0" distR="0" wp14:anchorId="282C394A" wp14:editId="6A1D63A9">
            <wp:extent cx="5372100" cy="2611316"/>
            <wp:effectExtent l="0" t="0" r="0" b="0"/>
            <wp:docPr id="15" name="Picture 8">
              <a:extLst xmlns:a="http://schemas.openxmlformats.org/drawingml/2006/main">
                <a:ext uri="{FF2B5EF4-FFF2-40B4-BE49-F238E27FC236}">
                  <a16:creationId xmlns:a16="http://schemas.microsoft.com/office/drawing/2014/main" id="{695D7109-C149-4AA2-8712-81E8FAA3B73B}"/>
                </a:ext>
              </a:extLst>
            </wp:docPr>
            <wp:cNvGraphicFramePr/>
            <a:graphic xmlns:a="http://schemas.openxmlformats.org/drawingml/2006/main">
              <a:graphicData uri="http://schemas.openxmlformats.org/drawingml/2006/picture">
                <pic:pic xmlns:pic="http://schemas.openxmlformats.org/drawingml/2006/picture">
                  <pic:nvPicPr>
                    <pic:cNvPr id="15" name="Picture 8">
                      <a:extLst>
                        <a:ext uri="{FF2B5EF4-FFF2-40B4-BE49-F238E27FC236}">
                          <a16:creationId xmlns:a16="http://schemas.microsoft.com/office/drawing/2014/main" id="{695D7109-C149-4AA2-8712-81E8FAA3B73B}"/>
                        </a:ext>
                      </a:extLst>
                    </pic:cNvPr>
                    <pic:cNvPicPr/>
                  </pic:nvPicPr>
                  <pic:blipFill rotWithShape="1">
                    <a:blip r:embed="rId40">
                      <a:extLst>
                        <a:ext uri="{28A0092B-C50C-407E-A947-70E740481C1C}">
                          <a14:useLocalDpi xmlns:a14="http://schemas.microsoft.com/office/drawing/2010/main"/>
                        </a:ext>
                      </a:extLst>
                    </a:blip>
                    <a:srcRect l="-507" b="-679"/>
                    <a:stretch/>
                  </pic:blipFill>
                  <pic:spPr>
                    <a:xfrm>
                      <a:off x="0" y="0"/>
                      <a:ext cx="5373927" cy="2612204"/>
                    </a:xfrm>
                    <a:prstGeom prst="rect">
                      <a:avLst/>
                    </a:prstGeom>
                  </pic:spPr>
                </pic:pic>
              </a:graphicData>
            </a:graphic>
          </wp:inline>
        </w:drawing>
      </w:r>
    </w:p>
    <w:p w14:paraId="4E75264B" w14:textId="6B126E75" w:rsidR="00D32317" w:rsidRDefault="00252BBF" w:rsidP="00D32317">
      <w:pPr>
        <w:pStyle w:val="Caption"/>
        <w:rPr>
          <w:lang w:val="en-AU"/>
        </w:rPr>
      </w:pPr>
      <w:bookmarkStart w:id="37" w:name="_Ref42600605"/>
      <w:r>
        <w:t>Figure</w:t>
      </w:r>
      <w:r w:rsidR="00D32317">
        <w:t xml:space="preserve"> </w:t>
      </w:r>
      <w:r w:rsidR="00E67EC2">
        <w:fldChar w:fldCharType="begin"/>
      </w:r>
      <w:r w:rsidR="00E67EC2">
        <w:instrText xml:space="preserve"> STYLEREF 1 \s </w:instrText>
      </w:r>
      <w:r w:rsidR="00E67EC2">
        <w:fldChar w:fldCharType="separate"/>
      </w:r>
      <w:r w:rsidR="00BE5F47">
        <w:rPr>
          <w:noProof/>
        </w:rPr>
        <w:t>3</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6</w:t>
      </w:r>
      <w:r w:rsidR="00E67EC2">
        <w:fldChar w:fldCharType="end"/>
      </w:r>
      <w:bookmarkEnd w:id="37"/>
      <w:r w:rsidR="00D32317">
        <w:t xml:space="preserve"> Australian </w:t>
      </w:r>
      <w:r w:rsidR="0045757F">
        <w:t>grayling</w:t>
      </w:r>
      <w:r w:rsidR="00D32317">
        <w:t xml:space="preserve"> (image courtesy Arthur Rylah Institute)</w:t>
      </w:r>
    </w:p>
    <w:p w14:paraId="08D6B020" w14:textId="0ABD4D09" w:rsidR="00C360C5" w:rsidRDefault="00C360C5" w:rsidP="00C360C5">
      <w:pPr>
        <w:pStyle w:val="Para0"/>
        <w:rPr>
          <w:lang w:val="en-AU"/>
        </w:rPr>
      </w:pPr>
      <w:r>
        <w:rPr>
          <w:lang w:val="en-AU"/>
        </w:rPr>
        <w:t xml:space="preserve">Australian </w:t>
      </w:r>
      <w:r w:rsidR="0045757F">
        <w:rPr>
          <w:lang w:val="en-AU"/>
        </w:rPr>
        <w:t>grayling</w:t>
      </w:r>
      <w:r>
        <w:rPr>
          <w:lang w:val="en-AU"/>
        </w:rPr>
        <w:t xml:space="preserve"> </w:t>
      </w:r>
      <w:r w:rsidR="000E0AB8">
        <w:rPr>
          <w:lang w:val="en-AU"/>
        </w:rPr>
        <w:t>is</w:t>
      </w:r>
      <w:r>
        <w:rPr>
          <w:lang w:val="en-AU"/>
        </w:rPr>
        <w:t xml:space="preserve"> a diadromous species that require high flows in autumn to facilitate their downstream migration, cue spawning and to carry their eggs and larvae out to sea. Individuals live for 3-5 years, but females do not mature until they are two years old </w:t>
      </w:r>
      <w:r>
        <w:rPr>
          <w:lang w:val="en-AU"/>
        </w:rPr>
        <w:fldChar w:fldCharType="begin"/>
      </w:r>
      <w:r>
        <w:rPr>
          <w:lang w:val="en-AU"/>
        </w:rPr>
        <w:instrText xml:space="preserve"> ADDIN EN.CITE &lt;EndNote&gt;&lt;Cite&gt;&lt;Author&gt;McDowall&lt;/Author&gt;&lt;Year&gt;1996&lt;/Year&gt;&lt;RecNum&gt;1696&lt;/RecNum&gt;&lt;DisplayText&gt;(McDowall, 1996)&lt;/DisplayText&gt;&lt;record&gt;&lt;rec-number&gt;1696&lt;/rec-number&gt;&lt;foreign-keys&gt;&lt;key app="EN" db-id="d0s2errflvze20evzxyvr9xzwfwste2v9tf2" timestamp="0"&gt;1696&lt;/key&gt;&lt;/foreign-keys&gt;&lt;ref-type name="Edited Book"&gt;28&lt;/ref-type&gt;&lt;contributors&gt;&lt;authors&gt;&lt;author&gt;McDowall, R.M.&lt;/author&gt;&lt;/authors&gt;&lt;/contributors&gt;&lt;titles&gt;&lt;title&gt;Freshwater fish of south-eastern Australia&lt;/title&gt;&lt;/titles&gt;&lt;edition&gt;Second edition&lt;/edition&gt;&lt;dates&gt;&lt;year&gt;1996&lt;/year&gt;&lt;/dates&gt;&lt;pub-location&gt;Sydney&lt;/pub-location&gt;&lt;publisher&gt;Reed Books&lt;/publisher&gt;&lt;urls&gt;&lt;/urls&gt;&lt;/record&gt;&lt;/Cite&gt;&lt;/EndNote&gt;</w:instrText>
      </w:r>
      <w:r>
        <w:rPr>
          <w:lang w:val="en-AU"/>
        </w:rPr>
        <w:fldChar w:fldCharType="separate"/>
      </w:r>
      <w:r>
        <w:rPr>
          <w:noProof/>
          <w:lang w:val="en-AU"/>
        </w:rPr>
        <w:t>(McDowall, 1996)</w:t>
      </w:r>
      <w:r>
        <w:rPr>
          <w:lang w:val="en-AU"/>
        </w:rPr>
        <w:fldChar w:fldCharType="end"/>
      </w:r>
      <w:r>
        <w:rPr>
          <w:lang w:val="en-AU"/>
        </w:rPr>
        <w:t xml:space="preserve">. Mature females will not release their eggs without high autumn flows </w:t>
      </w:r>
      <w:r>
        <w:rPr>
          <w:lang w:val="en-AU"/>
        </w:rPr>
        <w:fldChar w:fldCharType="begin"/>
      </w:r>
      <w:r>
        <w:rPr>
          <w:lang w:val="en-AU"/>
        </w:rPr>
        <w:instrText xml:space="preserve"> ADDIN EN.CITE &lt;EndNote&gt;&lt;Cite&gt;&lt;Author&gt;O&amp;apos;Connor&lt;/Author&gt;&lt;Year&gt;2004&lt;/Year&gt;&lt;RecNum&gt;3056&lt;/RecNum&gt;&lt;DisplayText&gt;(O&amp;apos;Connor and Mahoney, 2004)&lt;/DisplayText&gt;&lt;record&gt;&lt;rec-number&gt;3056&lt;/rec-number&gt;&lt;foreign-keys&gt;&lt;key app="EN" db-id="d0s2errflvze20evzxyvr9xzwfwste2v9tf2" timestamp="0"&gt;3056&lt;/key&gt;&lt;/foreign-keys&gt;&lt;ref-type name="Journal Article"&gt;17&lt;/ref-type&gt;&lt;contributors&gt;&lt;authors&gt;&lt;author&gt;O&amp;apos;Connor, J.P&lt;/author&gt;&lt;author&gt;Mahoney, J.C&lt;/author&gt;&lt;/authors&gt;&lt;/contributors&gt;&lt;titles&gt;&lt;title&gt;&lt;style face="normal" font="default" size="100%"&gt;Observations of ovarian involution in the Australian grayling (&lt;/style&gt;&lt;style face="italic" font="default" size="100%"&gt;Prototroctes mareana&lt;/style&gt;&lt;style face="normal" font="default" size="100%"&gt;)&lt;/style&gt;&lt;/title&gt;&lt;secondary-title&gt;Ecology of Freshwater Fish&lt;/secondary-title&gt;&lt;/titles&gt;&lt;pages&gt;70-73&lt;/pages&gt;&lt;volume&gt;13&lt;/volume&gt;&lt;dates&gt;&lt;year&gt;2004&lt;/year&gt;&lt;/dates&gt;&lt;urls&gt;&lt;/urls&gt;&lt;/record&gt;&lt;/Cite&gt;&lt;/EndNote&gt;</w:instrText>
      </w:r>
      <w:r>
        <w:rPr>
          <w:lang w:val="en-AU"/>
        </w:rPr>
        <w:fldChar w:fldCharType="separate"/>
      </w:r>
      <w:r>
        <w:rPr>
          <w:noProof/>
          <w:lang w:val="en-AU"/>
        </w:rPr>
        <w:t>(O'Connor and Mahoney, 2004)</w:t>
      </w:r>
      <w:r>
        <w:rPr>
          <w:lang w:val="en-AU"/>
        </w:rPr>
        <w:fldChar w:fldCharType="end"/>
      </w:r>
      <w:r w:rsidR="00D87A59">
        <w:rPr>
          <w:lang w:val="en-AU"/>
        </w:rPr>
        <w:t xml:space="preserve">.  </w:t>
      </w:r>
      <w:r>
        <w:rPr>
          <w:lang w:val="en-AU"/>
        </w:rPr>
        <w:t xml:space="preserve">Australian </w:t>
      </w:r>
      <w:r w:rsidR="0045757F">
        <w:rPr>
          <w:lang w:val="en-AU"/>
        </w:rPr>
        <w:t>grayling</w:t>
      </w:r>
      <w:r>
        <w:rPr>
          <w:lang w:val="en-AU"/>
        </w:rPr>
        <w:t xml:space="preserve"> larvae develop at sea and juveniles move into freshwater reaches. Recent evidence suggests that juveniles do not necessarily return to the same rivers where they were spawned </w:t>
      </w:r>
      <w:r>
        <w:rPr>
          <w:lang w:val="en-AU"/>
        </w:rPr>
        <w:fldChar w:fldCharType="begin"/>
      </w:r>
      <w:r>
        <w:rPr>
          <w:lang w:val="en-AU"/>
        </w:rPr>
        <w:instrText xml:space="preserve"> ADDIN EN.CITE &lt;EndNote&gt;&lt;Cite&gt;&lt;Author&gt;Crook&lt;/Author&gt;&lt;Year&gt;2006&lt;/Year&gt;&lt;RecNum&gt;3446&lt;/RecNum&gt;&lt;DisplayText&gt;(Crook&lt;style face="italic"&gt; et al.&lt;/style&gt;, 2006)&lt;/DisplayText&gt;&lt;record&gt;&lt;rec-number&gt;3446&lt;/rec-number&gt;&lt;foreign-keys&gt;&lt;key app="EN" db-id="d0s2errflvze20evzxyvr9xzwfwste2v9tf2" timestamp="1329868480"&gt;3446&lt;/key&gt;&lt;/foreign-keys&gt;&lt;ref-type name="Journal Article"&gt;17&lt;/ref-type&gt;&lt;contributors&gt;&lt;authors&gt;&lt;author&gt;Crook, D. A.&lt;/author&gt;&lt;author&gt;Macdonald, J. I.&lt;/author&gt;&lt;author&gt;O’Connor, J. P.&lt;/author&gt;&lt;author&gt;Barry, B.&lt;/author&gt;&lt;/authors&gt;&lt;/contributors&gt;&lt;titles&gt;&lt;title&gt;&lt;style face="normal" font="default" size="100%"&gt;Use of otolith chemistry to examine patterns of diadromy in the threatened Australian grayling &lt;/style&gt;&lt;style face="italic" font="default" size="100%"&gt;Prototroctes maraena&lt;/style&gt;&lt;/title&gt;&lt;secondary-title&gt;Journal of Fish Biology&lt;/secondary-title&gt;&lt;/titles&gt;&lt;periodical&gt;&lt;full-title&gt;Journal of Fish Biology&lt;/full-title&gt;&lt;/periodical&gt;&lt;pages&gt;1330-1344&lt;/pages&gt;&lt;volume&gt;69&lt;/volume&gt;&lt;number&gt;5&lt;/number&gt;&lt;keywords&gt;&lt;keyword&gt;barium&lt;/keyword&gt;&lt;keyword&gt;diadromous&lt;/keyword&gt;&lt;keyword&gt;migration&lt;/keyword&gt;&lt;keyword&gt;otolith microchemistry&lt;/keyword&gt;&lt;keyword&gt;strontium&lt;/keyword&gt;&lt;/keywords&gt;&lt;dates&gt;&lt;year&gt;2006&lt;/year&gt;&lt;/dates&gt;&lt;publisher&gt;Blackwell Publishing Ltd&lt;/publisher&gt;&lt;isbn&gt;1095-8649&lt;/isbn&gt;&lt;urls&gt;&lt;related-urls&gt;&lt;url&gt;http://dx.doi.org/10.1111/j.1095-8649.2006.01191.x&lt;/url&gt;&lt;/related-urls&gt;&lt;/urls&gt;&lt;electronic-resource-num&gt;10.1111/j.1095-8649.2006.01191.x&lt;/electronic-resource-num&gt;&lt;/record&gt;&lt;/Cite&gt;&lt;/EndNote&gt;</w:instrText>
      </w:r>
      <w:r>
        <w:rPr>
          <w:lang w:val="en-AU"/>
        </w:rPr>
        <w:fldChar w:fldCharType="separate"/>
      </w:r>
      <w:r>
        <w:rPr>
          <w:noProof/>
          <w:lang w:val="en-AU"/>
        </w:rPr>
        <w:t>(Crook</w:t>
      </w:r>
      <w:r w:rsidRPr="007D7856">
        <w:rPr>
          <w:i/>
          <w:noProof/>
          <w:lang w:val="en-AU"/>
        </w:rPr>
        <w:t xml:space="preserve"> et al.</w:t>
      </w:r>
      <w:r>
        <w:rPr>
          <w:noProof/>
          <w:lang w:val="en-AU"/>
        </w:rPr>
        <w:t>, 2006)</w:t>
      </w:r>
      <w:r>
        <w:rPr>
          <w:lang w:val="en-AU"/>
        </w:rPr>
        <w:fldChar w:fldCharType="end"/>
      </w:r>
      <w:r>
        <w:rPr>
          <w:lang w:val="en-AU"/>
        </w:rPr>
        <w:t xml:space="preserve"> and therefore populations may persist in some rivers where adults have failed to spawn for several years. Altered flow regimes, as well as other factors such as barriers to movement and habitat degradation, are likely contributors to the decline.</w:t>
      </w:r>
    </w:p>
    <w:p w14:paraId="2F2F6AD5" w14:textId="4A522EE7" w:rsidR="00C360C5" w:rsidRDefault="00C360C5" w:rsidP="00C360C5">
      <w:pPr>
        <w:pStyle w:val="Para0"/>
        <w:rPr>
          <w:lang w:val="en-AU"/>
        </w:rPr>
      </w:pPr>
      <w:r>
        <w:rPr>
          <w:lang w:val="en-AU"/>
        </w:rPr>
        <w:t xml:space="preserve">Spawning and movement patterns of Australian </w:t>
      </w:r>
      <w:r w:rsidR="0045757F">
        <w:rPr>
          <w:lang w:val="en-AU"/>
        </w:rPr>
        <w:t>grayling</w:t>
      </w:r>
      <w:r>
        <w:rPr>
          <w:lang w:val="en-AU"/>
        </w:rPr>
        <w:t xml:space="preserve"> were recently investigated in the </w:t>
      </w:r>
      <w:r w:rsidR="00D43248">
        <w:rPr>
          <w:lang w:val="en-AU"/>
        </w:rPr>
        <w:t>nearby</w:t>
      </w:r>
      <w:r>
        <w:rPr>
          <w:lang w:val="en-AU"/>
        </w:rPr>
        <w:t xml:space="preserve"> Bunyip River using drift sampling (2008–2011) and acoustic telemetry (2009–2010) </w:t>
      </w:r>
      <w:r>
        <w:rPr>
          <w:lang w:val="en-AU"/>
        </w:rPr>
        <w:fldChar w:fldCharType="begin"/>
      </w:r>
      <w:r>
        <w:rPr>
          <w:lang w:val="en-AU"/>
        </w:rPr>
        <w:instrText xml:space="preserve"> ADDIN EN.CITE &lt;EndNote&gt;&lt;Cite&gt;&lt;Author&gt;Koster&lt;/Author&gt;&lt;Year&gt;2013&lt;/Year&gt;&lt;RecNum&gt;3696&lt;/RecNum&gt;&lt;DisplayText&gt;(Koster&lt;style face="italic"&gt; et al.&lt;/style&gt;, 2013)&lt;/DisplayText&gt;&lt;record&gt;&lt;rec-number&gt;3696&lt;/rec-number&gt;&lt;foreign-keys&gt;&lt;key app="EN" db-id="d0s2errflvze20evzxyvr9xzwfwste2v9tf2" timestamp="1575584880"&gt;3696&lt;/key&gt;&lt;/foreign-keys&gt;&lt;ref-type name="Journal Article"&gt;17&lt;/ref-type&gt;&lt;contributors&gt;&lt;authors&gt;&lt;author&gt;Koster, W. M.&lt;/author&gt;&lt;author&gt;Dawson, D. R.&lt;/author&gt;&lt;author&gt;Crook, D. A.&lt;/author&gt;&lt;/authors&gt;&lt;/contributors&gt;&lt;titles&gt;&lt;title&gt;Downstream spawning migration by the amphidromous Australian grayling (&amp;lt;i&amp;gt;Prototroctes maraena&amp;lt;/i&amp;gt;) in a coastal river in south-eastern Australia&lt;/title&gt;&lt;secondary-title&gt;Marine and Freshwater Research&lt;/secondary-title&gt;&lt;/titles&gt;&lt;periodical&gt;&lt;full-title&gt;Marine and Freshwater Research&lt;/full-title&gt;&lt;/periodical&gt;&lt;pages&gt;31-41&lt;/pages&gt;&lt;volume&gt;64&lt;/volume&gt;&lt;number&gt;1&lt;/number&gt;&lt;keywords&gt;&lt;keyword&gt;amphidromy, environmental flows, reproduction, Retropinnidae, telemetry.&lt;/keyword&gt;&lt;/keywords&gt;&lt;dates&gt;&lt;year&gt;2013&lt;/year&gt;&lt;/dates&gt;&lt;urls&gt;&lt;related-urls&gt;&lt;url&gt;https://www.publish.csiro.au/paper/MF12196&lt;/url&gt;&lt;/related-urls&gt;&lt;/urls&gt;&lt;electronic-resource-num&gt;https://doi.org/10.1071/MF12196&lt;/electronic-resource-num&gt;&lt;/record&gt;&lt;/Cite&gt;&lt;/EndNote&gt;</w:instrText>
      </w:r>
      <w:r>
        <w:rPr>
          <w:lang w:val="en-AU"/>
        </w:rPr>
        <w:fldChar w:fldCharType="separate"/>
      </w:r>
      <w:r>
        <w:rPr>
          <w:noProof/>
          <w:lang w:val="en-AU"/>
        </w:rPr>
        <w:t>(Koster</w:t>
      </w:r>
      <w:r w:rsidRPr="00BA21EF">
        <w:rPr>
          <w:i/>
          <w:noProof/>
          <w:lang w:val="en-AU"/>
        </w:rPr>
        <w:t xml:space="preserve"> et al.</w:t>
      </w:r>
      <w:r>
        <w:rPr>
          <w:noProof/>
          <w:lang w:val="en-AU"/>
        </w:rPr>
        <w:t>, 2013)</w:t>
      </w:r>
      <w:r>
        <w:rPr>
          <w:lang w:val="en-AU"/>
        </w:rPr>
        <w:fldChar w:fldCharType="end"/>
      </w:r>
      <w:r>
        <w:rPr>
          <w:lang w:val="en-AU"/>
        </w:rPr>
        <w:t>. The results of the study are useful for helping to understand the potential life history requirements for Austra</w:t>
      </w:r>
      <w:r w:rsidR="00D43248">
        <w:rPr>
          <w:lang w:val="en-AU"/>
        </w:rPr>
        <w:t>l</w:t>
      </w:r>
      <w:r>
        <w:rPr>
          <w:lang w:val="en-AU"/>
        </w:rPr>
        <w:t xml:space="preserve">ian </w:t>
      </w:r>
      <w:r w:rsidR="0045757F">
        <w:rPr>
          <w:lang w:val="en-AU"/>
        </w:rPr>
        <w:t>grayling</w:t>
      </w:r>
      <w:r>
        <w:rPr>
          <w:lang w:val="en-AU"/>
        </w:rPr>
        <w:t xml:space="preserve"> in Cardinia Creek.  The results demonstrate that Australian </w:t>
      </w:r>
      <w:r w:rsidR="0045757F">
        <w:rPr>
          <w:lang w:val="en-AU"/>
        </w:rPr>
        <w:t>grayling</w:t>
      </w:r>
      <w:r>
        <w:rPr>
          <w:lang w:val="en-AU"/>
        </w:rPr>
        <w:t xml:space="preserve"> in the Bunyip River migrate downstream to a location just upstream of the estuary to spawn</w:t>
      </w:r>
      <w:r w:rsidR="00D43248">
        <w:rPr>
          <w:lang w:val="en-AU"/>
        </w:rPr>
        <w:t>,</w:t>
      </w:r>
      <w:r>
        <w:rPr>
          <w:lang w:val="en-AU"/>
        </w:rPr>
        <w:t xml:space="preserve"> and that increased river flows </w:t>
      </w:r>
      <w:r w:rsidR="0045757F">
        <w:rPr>
          <w:lang w:val="en-AU"/>
        </w:rPr>
        <w:t xml:space="preserve">in Autumn </w:t>
      </w:r>
      <w:r>
        <w:rPr>
          <w:lang w:val="en-AU"/>
        </w:rPr>
        <w:t xml:space="preserve">are an important cue to that migration. Adult Australian </w:t>
      </w:r>
      <w:r w:rsidR="0045757F">
        <w:rPr>
          <w:lang w:val="en-AU"/>
        </w:rPr>
        <w:t>grayling</w:t>
      </w:r>
      <w:r>
        <w:rPr>
          <w:lang w:val="en-AU"/>
        </w:rPr>
        <w:t xml:space="preserve"> lay eggs in gravel or on the stream bed at the upstream edge of the estuary. The eggs hatch after about 12 days and the newly emerged larvae are washed into the sea. Adult Australian </w:t>
      </w:r>
      <w:r w:rsidR="0045757F">
        <w:rPr>
          <w:lang w:val="en-AU"/>
        </w:rPr>
        <w:t>grayling</w:t>
      </w:r>
      <w:r>
        <w:rPr>
          <w:lang w:val="en-AU"/>
        </w:rPr>
        <w:t xml:space="preserve"> often travel large distances (up to 30 km) to reach spawning habitats in response to increased flows. A journey in the Bunyip River, from immediately downstream of the confluence with the Tarago River to the spawning area at the top of the estuary takes approximately five days.</w:t>
      </w:r>
    </w:p>
    <w:p w14:paraId="4922317D" w14:textId="0982B168" w:rsidR="00C360C5" w:rsidRDefault="00C360C5" w:rsidP="00C360C5">
      <w:pPr>
        <w:pStyle w:val="Para0"/>
        <w:rPr>
          <w:lang w:val="en-AU"/>
        </w:rPr>
      </w:pPr>
      <w:r>
        <w:rPr>
          <w:lang w:val="en-AU"/>
        </w:rPr>
        <w:t xml:space="preserve">The magnitude and duration of </w:t>
      </w:r>
      <w:r w:rsidR="0045757F">
        <w:rPr>
          <w:lang w:val="en-AU"/>
        </w:rPr>
        <w:t xml:space="preserve">Autumn </w:t>
      </w:r>
      <w:r>
        <w:rPr>
          <w:lang w:val="en-AU"/>
        </w:rPr>
        <w:t>high flow events influenced the behaviour of migrating fish. Downstream migration occurred over a broad range of observed flows (i.e. 50-160 ML/day), but the number of fish migrating was much greater when flows were greater than 120 ML/day (</w:t>
      </w:r>
      <w:r w:rsidR="00D32317">
        <w:rPr>
          <w:lang w:val="en-AU"/>
        </w:rPr>
        <w:fldChar w:fldCharType="begin"/>
      </w:r>
      <w:r w:rsidR="00D32317">
        <w:rPr>
          <w:lang w:val="en-AU"/>
        </w:rPr>
        <w:instrText xml:space="preserve"> REF _Ref39241649 \h </w:instrText>
      </w:r>
      <w:r w:rsidR="00D32317">
        <w:rPr>
          <w:lang w:val="en-AU"/>
        </w:rPr>
      </w:r>
      <w:r w:rsidR="00D32317">
        <w:rPr>
          <w:lang w:val="en-AU"/>
        </w:rPr>
        <w:fldChar w:fldCharType="separate"/>
      </w:r>
      <w:r w:rsidR="00BE5F47">
        <w:t xml:space="preserve">Figure </w:t>
      </w:r>
      <w:r w:rsidR="00BE5F47">
        <w:rPr>
          <w:noProof/>
        </w:rPr>
        <w:t>3</w:t>
      </w:r>
      <w:r w:rsidR="00BE5F47">
        <w:noBreakHyphen/>
      </w:r>
      <w:r w:rsidR="00BE5F47">
        <w:rPr>
          <w:noProof/>
        </w:rPr>
        <w:t>7</w:t>
      </w:r>
      <w:r w:rsidR="00D32317">
        <w:rPr>
          <w:lang w:val="en-AU"/>
        </w:rPr>
        <w:fldChar w:fldCharType="end"/>
      </w:r>
      <w:r>
        <w:rPr>
          <w:lang w:val="en-AU"/>
        </w:rPr>
        <w:t xml:space="preserve">). Individual fish would abort their migration if discharge declined before they reached the spawning area, but would resume their migration if flow increased again (Koster </w:t>
      </w:r>
      <w:r>
        <w:rPr>
          <w:i/>
          <w:iCs/>
          <w:lang w:val="en-AU"/>
        </w:rPr>
        <w:t>et al</w:t>
      </w:r>
      <w:r>
        <w:rPr>
          <w:lang w:val="en-AU"/>
        </w:rPr>
        <w:t xml:space="preserve">., 2013). The drop in flow required to disrupt downstream migration varied for individual fish. Koster </w:t>
      </w:r>
      <w:r>
        <w:rPr>
          <w:i/>
          <w:iCs/>
          <w:lang w:val="en-AU"/>
        </w:rPr>
        <w:t xml:space="preserve">et al. </w:t>
      </w:r>
      <w:r>
        <w:rPr>
          <w:lang w:val="en-AU"/>
        </w:rPr>
        <w:t>(2013) monitored fish over several flow events and observed aborted migration when flows declined from 70 to 65 ML/day over two days and when flows declined from 120 to 90 ML/day over three days.</w:t>
      </w:r>
    </w:p>
    <w:p w14:paraId="3FD16685" w14:textId="77777777" w:rsidR="00C360C5" w:rsidRDefault="00C360C5" w:rsidP="00C360C5">
      <w:pPr>
        <w:pStyle w:val="Para0"/>
        <w:ind w:firstLine="425"/>
        <w:rPr>
          <w:rFonts w:cs="Arial"/>
          <w:szCs w:val="20"/>
          <w:lang w:val="en-AU"/>
        </w:rPr>
      </w:pPr>
      <w:r w:rsidRPr="007D2F30">
        <w:rPr>
          <w:rFonts w:cs="Arial"/>
          <w:noProof/>
          <w:szCs w:val="20"/>
          <w:lang w:val="en-AU"/>
        </w:rPr>
        <w:lastRenderedPageBreak/>
        <w:drawing>
          <wp:inline distT="0" distB="0" distL="0" distR="0" wp14:anchorId="2B94B0E8" wp14:editId="02538821">
            <wp:extent cx="4384800" cy="2317541"/>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96224" cy="2323579"/>
                    </a:xfrm>
                    <a:prstGeom prst="rect">
                      <a:avLst/>
                    </a:prstGeom>
                    <a:noFill/>
                    <a:ln>
                      <a:noFill/>
                    </a:ln>
                  </pic:spPr>
                </pic:pic>
              </a:graphicData>
            </a:graphic>
          </wp:inline>
        </w:drawing>
      </w:r>
    </w:p>
    <w:p w14:paraId="5F56DB8C" w14:textId="7A557403" w:rsidR="00C360C5" w:rsidRDefault="00252BBF" w:rsidP="00C360C5">
      <w:pPr>
        <w:pStyle w:val="Caption"/>
        <w:rPr>
          <w:lang w:val="en-AU"/>
        </w:rPr>
      </w:pPr>
      <w:bookmarkStart w:id="38" w:name="_Ref39241649"/>
      <w:r>
        <w:t>Figure</w:t>
      </w:r>
      <w:r w:rsidR="00C360C5">
        <w:t xml:space="preserve"> </w:t>
      </w:r>
      <w:r w:rsidR="00E67EC2">
        <w:fldChar w:fldCharType="begin"/>
      </w:r>
      <w:r w:rsidR="00E67EC2">
        <w:instrText xml:space="preserve"> STYLEREF 1 \s </w:instrText>
      </w:r>
      <w:r w:rsidR="00E67EC2">
        <w:fldChar w:fldCharType="separate"/>
      </w:r>
      <w:r w:rsidR="00BE5F47">
        <w:rPr>
          <w:noProof/>
        </w:rPr>
        <w:t>3</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7</w:t>
      </w:r>
      <w:r w:rsidR="00E67EC2">
        <w:fldChar w:fldCharType="end"/>
      </w:r>
      <w:bookmarkEnd w:id="38"/>
      <w:r w:rsidR="00C360C5">
        <w:t xml:space="preserve"> </w:t>
      </w:r>
      <w:r w:rsidR="00C360C5">
        <w:rPr>
          <w:lang w:val="en-AU"/>
        </w:rPr>
        <w:t xml:space="preserve">Daily numbers of Australian </w:t>
      </w:r>
      <w:r w:rsidR="0045757F">
        <w:rPr>
          <w:lang w:val="en-AU"/>
        </w:rPr>
        <w:t>grayling</w:t>
      </w:r>
      <w:r w:rsidR="00C360C5">
        <w:rPr>
          <w:lang w:val="en-AU"/>
        </w:rPr>
        <w:t xml:space="preserve"> moving downstream and daily mean discharge in the Bunyip River during the 2009 and 2010 spawning period</w:t>
      </w:r>
    </w:p>
    <w:p w14:paraId="223184E5" w14:textId="0BD50E24" w:rsidR="00C360C5" w:rsidRDefault="00C360C5" w:rsidP="00C360C5">
      <w:pPr>
        <w:pStyle w:val="Para0"/>
      </w:pPr>
      <w:r w:rsidRPr="00BA21EF">
        <w:t xml:space="preserve">Following spawning, eggs/larvae are washed downstream to the sea and after about four-five months (i.e. in spring – summer) the juveniles migrate back upstream into the freshwater reaches of rivers </w:t>
      </w:r>
      <w:r w:rsidRPr="00BA21EF">
        <w:fldChar w:fldCharType="begin">
          <w:fldData xml:space="preserve">PEVuZE5vdGU+PENpdGU+PEF1dGhvcj5CZXJyYTwvQXV0aG9yPjxZZWFyPjE5ODI8L1llYXI+PFJl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</w:fldData>
        </w:fldChar>
      </w:r>
      <w:r w:rsidRPr="00BA21EF">
        <w:instrText xml:space="preserve"> ADDIN EN.CITE </w:instrText>
      </w:r>
      <w:r w:rsidRPr="00BA21EF">
        <w:fldChar w:fldCharType="begin">
          <w:fldData xml:space="preserve">PEVuZE5vdGU+PENpdGU+PEF1dGhvcj5CZXJyYTwvQXV0aG9yPjxZZWFyPjE5ODI8L1llYXI+PFJl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</w:fldData>
        </w:fldChar>
      </w:r>
      <w:r w:rsidRPr="00BA21EF">
        <w:instrText xml:space="preserve"> ADDIN EN.CITE.DATA </w:instrText>
      </w:r>
      <w:r w:rsidRPr="00BA21EF">
        <w:fldChar w:fldCharType="end"/>
      </w:r>
      <w:r w:rsidRPr="00BA21EF">
        <w:fldChar w:fldCharType="separate"/>
      </w:r>
      <w:r w:rsidRPr="00BA21EF">
        <w:t>(Berra, 1982, Crook et al., 2006)</w:t>
      </w:r>
      <w:r w:rsidRPr="00BA21EF">
        <w:fldChar w:fldCharType="end"/>
      </w:r>
      <w:r w:rsidRPr="00BA21EF">
        <w:t xml:space="preserve">. It is unknown what triggers Australian </w:t>
      </w:r>
      <w:r w:rsidR="0045757F">
        <w:t>grayling</w:t>
      </w:r>
      <w:r w:rsidRPr="00BA21EF">
        <w:t xml:space="preserve"> juveniles to return to freshwater reaches, although spring tides, phases of the moon and temperature are often triggers for spring migration from estuarine reaches to freshwater in other diadromous species.</w:t>
      </w:r>
      <w:r>
        <w:t xml:space="preserve">  However, some preliminary sampling of juvenile immigration over the last few years in the Bunyip River, Barwon River and Cardinia Creek shows catches were lowest in years when flows were low throughout spring, potentially indicating that lower flow conditions may result in fewer fish being attracted to river mouth</w:t>
      </w:r>
      <w:r w:rsidR="0045757F">
        <w:t xml:space="preserve">s, or that low flows prevented upstream passage due to barriers </w:t>
      </w:r>
      <w:r>
        <w:fldChar w:fldCharType="begin"/>
      </w:r>
      <w:r>
        <w:instrText xml:space="preserve"> ADDIN EN.CITE &lt;EndNote&gt;&lt;Cite&gt;&lt;Author&gt;Amtstaetter&lt;/Author&gt;&lt;Year&gt;2019&lt;/Year&gt;&lt;RecNum&gt;3704&lt;/RecNum&gt;&lt;DisplayText&gt;(Amtstaetter&lt;style face="italic"&gt; et al.&lt;/style&gt;, 2019)&lt;/DisplayText&gt;&lt;record&gt;&lt;rec-number&gt;3704&lt;/rec-number&gt;&lt;foreign-keys&gt;&lt;key app="EN" db-id="d0s2errflvze20evzxyvr9xzwfwste2v9tf2" timestamp="1576033801"&gt;3704&lt;/key&gt;&lt;/foreign-keys&gt;&lt;ref-type name="Report"&gt;27&lt;/ref-type&gt;&lt;contributors&gt;&lt;authors&gt;&lt;author&gt;Amtstaetter, F.&lt;/author&gt;&lt;author&gt;O’Connor, J.&lt;/author&gt;&lt;author&gt;Tonkin, Z.&lt;/author&gt;&lt;author&gt;Koster, W.&lt;/author&gt;&lt;author&gt;Stuart, I.&lt;/author&gt;&lt;author&gt;Hale, R.&lt;/author&gt;&lt;/authors&gt;&lt;/contributors&gt;&lt;titles&gt;&lt;title&gt;VEFMAP Stage 6: Monitoring fish response to environmental flow delivery in Victorian coastal rivers&lt;/title&gt;&lt;/titles&gt;&lt;dates&gt;&lt;year&gt;2019&lt;/year&gt;&lt;/dates&gt;&lt;publisher&gt;Unpublished Client Report for the Water and Catchments Group. Arthur Rylah Institute for Environmental Research, Department of Environment, Land, Water and Planning, Heidelberg, Victoria&lt;/publisher&gt;&lt;urls&gt;&lt;/urls&gt;&lt;/record&gt;&lt;/Cite&gt;&lt;/EndNote&gt;</w:instrText>
      </w:r>
      <w:r>
        <w:fldChar w:fldCharType="separate"/>
      </w:r>
      <w:r>
        <w:rPr>
          <w:noProof/>
        </w:rPr>
        <w:t>(Amtstaetter</w:t>
      </w:r>
      <w:r w:rsidRPr="003F6830">
        <w:rPr>
          <w:i/>
          <w:noProof/>
        </w:rPr>
        <w:t xml:space="preserve"> et al.</w:t>
      </w:r>
      <w:r>
        <w:rPr>
          <w:noProof/>
        </w:rPr>
        <w:t>, 2019)</w:t>
      </w:r>
      <w:r>
        <w:fldChar w:fldCharType="end"/>
      </w:r>
      <w:r>
        <w:t>.</w:t>
      </w:r>
    </w:p>
    <w:p w14:paraId="60C40268" w14:textId="38CB80D7" w:rsidR="00C360C5" w:rsidRDefault="00C360C5" w:rsidP="00C360C5">
      <w:pPr>
        <w:pStyle w:val="Para0"/>
      </w:pPr>
      <w:r>
        <w:t xml:space="preserve">The general flow/water regime requirements for Australian </w:t>
      </w:r>
      <w:r w:rsidR="0045757F">
        <w:t>grayling</w:t>
      </w:r>
      <w:r>
        <w:t xml:space="preserve"> are: </w:t>
      </w:r>
    </w:p>
    <w:p w14:paraId="5A9D38FB" w14:textId="77777777" w:rsidR="00C360C5" w:rsidRPr="003678FE" w:rsidRDefault="00C360C5" w:rsidP="00C360C5">
      <w:pPr>
        <w:pStyle w:val="Para0bullet"/>
      </w:pPr>
      <w:r>
        <w:t>Sufficient minimum flows to maintain access to suitable adult habitat</w:t>
      </w:r>
      <w:r w:rsidRPr="003678FE">
        <w:t xml:space="preserve">.  </w:t>
      </w:r>
    </w:p>
    <w:p w14:paraId="5C9FCFEC" w14:textId="77777777" w:rsidR="00C360C5" w:rsidRDefault="00C360C5" w:rsidP="00C360C5">
      <w:pPr>
        <w:pStyle w:val="Para0bullet"/>
      </w:pPr>
      <w:r>
        <w:t>Autumn high flows to trigger downstream adult movement and spawning</w:t>
      </w:r>
      <w:r w:rsidRPr="003678FE">
        <w:t>.</w:t>
      </w:r>
      <w:r>
        <w:t xml:space="preserve">  Autumn flows need to be sufficient to also allow return adult movements after spawning, including through potential barriers to movement and fishways.</w:t>
      </w:r>
    </w:p>
    <w:p w14:paraId="7D94CE73" w14:textId="07FE3293" w:rsidR="0028726D" w:rsidRPr="0028726D" w:rsidRDefault="00C360C5" w:rsidP="0028726D">
      <w:pPr>
        <w:pStyle w:val="Para0bullet"/>
      </w:pPr>
      <w:r>
        <w:t>Possible higher flows in spring to encourage upstream movement of juveniles</w:t>
      </w:r>
      <w:r w:rsidR="0045757F">
        <w:t xml:space="preserve"> and to enable movement through potential barriers and fishways</w:t>
      </w:r>
      <w:r>
        <w:t>.</w:t>
      </w:r>
    </w:p>
    <w:p w14:paraId="49EC7D46" w14:textId="77777777" w:rsidR="00C360C5" w:rsidRPr="00FC63F0" w:rsidRDefault="00C360C5" w:rsidP="00C360C5">
      <w:pPr>
        <w:pStyle w:val="Heading3"/>
        <w:rPr>
          <w:lang w:val="en-AU"/>
        </w:rPr>
      </w:pPr>
      <w:bookmarkStart w:id="39" w:name="_Toc27065912"/>
      <w:bookmarkStart w:id="40" w:name="_Toc69480700"/>
      <w:r>
        <w:rPr>
          <w:lang w:val="en-AU"/>
        </w:rPr>
        <w:t>Presence in Cardinia Creek</w:t>
      </w:r>
      <w:bookmarkEnd w:id="39"/>
      <w:bookmarkEnd w:id="40"/>
    </w:p>
    <w:p w14:paraId="6454325A" w14:textId="0ACED03D" w:rsidR="002944B2" w:rsidRDefault="00C360C5" w:rsidP="00C360C5">
      <w:pPr>
        <w:pStyle w:val="Para0"/>
      </w:pPr>
      <w:r>
        <w:rPr>
          <w:lang w:val="en-AU"/>
        </w:rPr>
        <w:t xml:space="preserve">Australian </w:t>
      </w:r>
      <w:r w:rsidR="0045757F">
        <w:rPr>
          <w:lang w:val="en-AU"/>
        </w:rPr>
        <w:t>grayling</w:t>
      </w:r>
      <w:r>
        <w:rPr>
          <w:lang w:val="en-AU"/>
        </w:rPr>
        <w:t xml:space="preserve"> have been recorded in low numbers in lower Cardinia Creek (</w:t>
      </w:r>
      <w:r w:rsidR="00C355AC">
        <w:rPr>
          <w:lang w:val="en-AU"/>
        </w:rPr>
        <w:fldChar w:fldCharType="begin"/>
      </w:r>
      <w:r w:rsidR="00C355AC">
        <w:rPr>
          <w:lang w:val="en-AU"/>
        </w:rPr>
        <w:instrText xml:space="preserve"> REF _Ref39241774 \h </w:instrText>
      </w:r>
      <w:r w:rsidR="00C355AC">
        <w:rPr>
          <w:lang w:val="en-AU"/>
        </w:rPr>
      </w:r>
      <w:r w:rsidR="00C355AC">
        <w:rPr>
          <w:lang w:val="en-AU"/>
        </w:rPr>
        <w:fldChar w:fldCharType="separate"/>
      </w:r>
      <w:r w:rsidR="00BE5F47">
        <w:t xml:space="preserve">Figure </w:t>
      </w:r>
      <w:r w:rsidR="00BE5F47">
        <w:rPr>
          <w:noProof/>
        </w:rPr>
        <w:t>3</w:t>
      </w:r>
      <w:r w:rsidR="00BE5F47">
        <w:noBreakHyphen/>
      </w:r>
      <w:r w:rsidR="00BE5F47">
        <w:rPr>
          <w:noProof/>
        </w:rPr>
        <w:t>8</w:t>
      </w:r>
      <w:r w:rsidR="00C355AC">
        <w:rPr>
          <w:lang w:val="en-AU"/>
        </w:rPr>
        <w:fldChar w:fldCharType="end"/>
      </w:r>
      <w:r w:rsidR="00D43248">
        <w:rPr>
          <w:lang w:val="en-AU"/>
        </w:rPr>
        <w:fldChar w:fldCharType="begin"/>
      </w:r>
      <w:r w:rsidR="00D43248">
        <w:rPr>
          <w:lang w:val="en-AU"/>
        </w:rPr>
        <w:instrText xml:space="preserve"> REF _Ref39241774 \h </w:instrText>
      </w:r>
      <w:r w:rsidR="00D43248">
        <w:rPr>
          <w:lang w:val="en-AU"/>
        </w:rPr>
      </w:r>
      <w:r w:rsidR="00D43248">
        <w:rPr>
          <w:lang w:val="en-AU"/>
        </w:rPr>
        <w:fldChar w:fldCharType="separate"/>
      </w:r>
      <w:r w:rsidR="00BE5F47">
        <w:t xml:space="preserve">Figure </w:t>
      </w:r>
      <w:r w:rsidR="00BE5F47">
        <w:rPr>
          <w:noProof/>
        </w:rPr>
        <w:t>3</w:t>
      </w:r>
      <w:r w:rsidR="00BE5F47">
        <w:noBreakHyphen/>
      </w:r>
      <w:r w:rsidR="00BE5F47">
        <w:rPr>
          <w:noProof/>
        </w:rPr>
        <w:t>8</w:t>
      </w:r>
      <w:r w:rsidR="00D43248">
        <w:rPr>
          <w:lang w:val="en-AU"/>
        </w:rPr>
        <w:fldChar w:fldCharType="end"/>
      </w:r>
      <w:r w:rsidR="00C355AC">
        <w:rPr>
          <w:lang w:val="en-AU"/>
        </w:rPr>
        <w:t xml:space="preserve">). </w:t>
      </w:r>
      <w:r>
        <w:rPr>
          <w:lang w:val="en-AU"/>
        </w:rPr>
        <w:t xml:space="preserve">Most records are from around </w:t>
      </w:r>
      <w:r w:rsidR="0045757F">
        <w:rPr>
          <w:lang w:val="en-AU"/>
        </w:rPr>
        <w:t xml:space="preserve">Chasemore / </w:t>
      </w:r>
      <w:r>
        <w:rPr>
          <w:lang w:val="en-AU"/>
        </w:rPr>
        <w:t>McCormacks Road</w:t>
      </w:r>
      <w:r w:rsidR="0045757F">
        <w:rPr>
          <w:lang w:val="en-AU"/>
        </w:rPr>
        <w:t xml:space="preserve"> and downstream of the Cardinia Creek drop structure near Thompsons Road </w:t>
      </w:r>
      <w:r>
        <w:rPr>
          <w:lang w:val="en-AU"/>
        </w:rPr>
        <w:fldChar w:fldCharType="begin"/>
      </w:r>
      <w:r w:rsidR="0045757F">
        <w:rPr>
          <w:lang w:val="en-AU"/>
        </w:rPr>
        <w:instrText xml:space="preserve"> ADDIN EN.CITE &lt;EndNote&gt;&lt;Cite&gt;&lt;Author&gt;Ecology Australia&lt;/Author&gt;&lt;Year&gt;2019&lt;/Year&gt;&lt;RecNum&gt;3701&lt;/RecNum&gt;&lt;Prefix&gt;MW fish database`, &lt;/Prefix&gt;&lt;DisplayText&gt;(MW fish database, Ecology Australia, 2019)&lt;/DisplayText&gt;&lt;record&gt;&lt;rec-number&gt;3701&lt;/rec-number&gt;&lt;foreign-keys&gt;&lt;key app="EN" db-id="d0s2errflvze20evzxyvr9xzwfwste2v9tf2" timestamp="1575595633"&gt;3701&lt;/key&gt;&lt;/foreign-keys&gt;&lt;ref-type name="Report"&gt;27&lt;/ref-type&gt;&lt;contributors&gt;&lt;authors&gt;&lt;author&gt;Ecology Australia,&lt;/author&gt;&lt;/authors&gt;&lt;tertiary-authors&gt;&lt;author&gt;Report to Melbourne Water&lt;/author&gt;&lt;/tertiary-authors&gt;&lt;/contributors&gt;&lt;titles&gt;&lt;title&gt;Cardinia Creek fishway monitoring&lt;/title&gt;&lt;/titles&gt;&lt;dates&gt;&lt;year&gt;2019&lt;/year&gt;&lt;/dates&gt;&lt;publisher&gt;Report to Melbourne Water&lt;/publisher&gt;&lt;urls&gt;&lt;/urls&gt;&lt;/record&gt;&lt;/Cite&gt;&lt;/EndNote&gt;</w:instrText>
      </w:r>
      <w:r>
        <w:rPr>
          <w:lang w:val="en-AU"/>
        </w:rPr>
        <w:fldChar w:fldCharType="separate"/>
      </w:r>
      <w:r w:rsidR="0045757F">
        <w:rPr>
          <w:noProof/>
          <w:lang w:val="en-AU"/>
        </w:rPr>
        <w:t>(MW fish database, Ecology Australia, 2019)</w:t>
      </w:r>
      <w:r>
        <w:rPr>
          <w:lang w:val="en-AU"/>
        </w:rPr>
        <w:fldChar w:fldCharType="end"/>
      </w:r>
      <w:r>
        <w:rPr>
          <w:lang w:val="en-AU"/>
        </w:rPr>
        <w:t>.  There is one record (1985) from upstream of the Cardinia Creek drop structure.</w:t>
      </w:r>
      <w:r w:rsidRPr="00335212">
        <w:t xml:space="preserve"> </w:t>
      </w:r>
      <w:r>
        <w:t xml:space="preserve"> The drop structure </w:t>
      </w:r>
      <w:r w:rsidR="00D32317">
        <w:rPr>
          <w:lang w:val="en-AU"/>
        </w:rPr>
        <w:t>(</w:t>
      </w:r>
      <w:r w:rsidR="00D32317">
        <w:rPr>
          <w:lang w:val="en-AU"/>
        </w:rPr>
        <w:fldChar w:fldCharType="begin"/>
      </w:r>
      <w:r w:rsidR="00D32317">
        <w:rPr>
          <w:lang w:val="en-AU"/>
        </w:rPr>
        <w:instrText xml:space="preserve"> REF _Ref26544297 \h </w:instrText>
      </w:r>
      <w:r w:rsidR="00D32317">
        <w:rPr>
          <w:lang w:val="en-AU"/>
        </w:rPr>
      </w:r>
      <w:r w:rsidR="00D32317">
        <w:rPr>
          <w:lang w:val="en-AU"/>
        </w:rPr>
        <w:fldChar w:fldCharType="separate"/>
      </w:r>
      <w:r w:rsidR="00BE5F47">
        <w:t xml:space="preserve">Figure </w:t>
      </w:r>
      <w:r w:rsidR="00BE5F47">
        <w:rPr>
          <w:noProof/>
        </w:rPr>
        <w:t>3</w:t>
      </w:r>
      <w:r w:rsidR="00BE5F47">
        <w:noBreakHyphen/>
      </w:r>
      <w:r w:rsidR="00BE5F47">
        <w:rPr>
          <w:noProof/>
        </w:rPr>
        <w:t>9</w:t>
      </w:r>
      <w:r w:rsidR="00D32317">
        <w:rPr>
          <w:lang w:val="en-AU"/>
        </w:rPr>
        <w:fldChar w:fldCharType="end"/>
      </w:r>
      <w:r w:rsidR="00D32317">
        <w:rPr>
          <w:lang w:val="en-AU"/>
        </w:rPr>
        <w:t xml:space="preserve">) </w:t>
      </w:r>
      <w:r>
        <w:t>was constructed in the 1980s to control severe headward incision that occurred as a response to the channelisation and drainage of lower reaches</w:t>
      </w:r>
      <w:r w:rsidR="0045757F">
        <w:t>.  The drop structure includes a fishway, but its effectiveness at allowing upstream fish migration has been questioned</w:t>
      </w:r>
      <w:r w:rsidR="002944B2">
        <w:t xml:space="preserve"> </w:t>
      </w:r>
      <w:r w:rsidR="002944B2">
        <w:fldChar w:fldCharType="begin"/>
      </w:r>
      <w:r w:rsidR="002944B2">
        <w:instrText xml:space="preserve"> ADDIN EN.CITE &lt;EndNote&gt;&lt;Cite&gt;&lt;Author&gt;Ecology Australia&lt;/Author&gt;&lt;Year&gt;2019&lt;/Year&gt;&lt;RecNum&gt;3701&lt;/RecNum&gt;&lt;DisplayText&gt;(Ecology Australia, 2019)&lt;/DisplayText&gt;&lt;record&gt;&lt;rec-number&gt;3701&lt;/rec-number&gt;&lt;foreign-keys&gt;&lt;key app="EN" db-id="d0s2errflvze20evzxyvr9xzwfwste2v9tf2" timestamp="1575595633"&gt;3701&lt;/key&gt;&lt;/foreign-keys&gt;&lt;ref-type name="Report"&gt;27&lt;/ref-type&gt;&lt;contributors&gt;&lt;authors&gt;&lt;author&gt;Ecology Australia,&lt;/author&gt;&lt;/authors&gt;&lt;tertiary-authors&gt;&lt;author&gt;Report to Melbourne Water&lt;/author&gt;&lt;/tertiary-authors&gt;&lt;/contributors&gt;&lt;titles&gt;&lt;title&gt;Cardinia Creek fishway monitoring&lt;/title&gt;&lt;/titles&gt;&lt;dates&gt;&lt;year&gt;2019&lt;/year&gt;&lt;/dates&gt;&lt;publisher&gt;Report to Melbourne Water&lt;/publisher&gt;&lt;urls&gt;&lt;/urls&gt;&lt;/record&gt;&lt;/Cite&gt;&lt;/EndNote&gt;</w:instrText>
      </w:r>
      <w:r w:rsidR="002944B2">
        <w:fldChar w:fldCharType="separate"/>
      </w:r>
      <w:r w:rsidR="002944B2">
        <w:rPr>
          <w:noProof/>
        </w:rPr>
        <w:t>(Ecology Australia, 2019)</w:t>
      </w:r>
      <w:r w:rsidR="002944B2">
        <w:fldChar w:fldCharType="end"/>
      </w:r>
      <w:r w:rsidR="0045757F">
        <w:t>.</w:t>
      </w:r>
      <w:r w:rsidR="002944B2">
        <w:t xml:space="preserve">  So it is not clear whether Australian grayling have ready access to reaches further upstream or whether a lack of survey means there are few records from upstream reaches.  Lack of survey effort </w:t>
      </w:r>
      <w:r w:rsidR="003B6B5A">
        <w:t xml:space="preserve">at appropriate times of the year </w:t>
      </w:r>
      <w:r w:rsidR="002944B2">
        <w:t xml:space="preserve">is also </w:t>
      </w:r>
      <w:r w:rsidR="003B6B5A">
        <w:t xml:space="preserve">thought </w:t>
      </w:r>
      <w:r w:rsidR="002944B2">
        <w:t>to be the reason for no records downstream of Chasemore / McCormacks Road – Australian grayling would need to move through this reach for spawning and juvenile return migrations.</w:t>
      </w:r>
    </w:p>
    <w:p w14:paraId="78EE30CC" w14:textId="77777777" w:rsidR="00D32317" w:rsidRDefault="00D32317" w:rsidP="00D32317">
      <w:pPr>
        <w:pStyle w:val="Caption"/>
      </w:pPr>
      <w:bookmarkStart w:id="41" w:name="_Ref26543372"/>
      <w:r>
        <w:rPr>
          <w:noProof/>
        </w:rPr>
        <w:lastRenderedPageBreak/>
        <w:drawing>
          <wp:inline distT="0" distB="0" distL="0" distR="0" wp14:anchorId="0B88A5C8" wp14:editId="6B4EFFC4">
            <wp:extent cx="3781167" cy="4868562"/>
            <wp:effectExtent l="0" t="0" r="0" b="8255"/>
            <wp:docPr id="6152" name="Picture 6152"/>
            <wp:cNvGraphicFramePr/>
            <a:graphic xmlns:a="http://schemas.openxmlformats.org/drawingml/2006/main">
              <a:graphicData uri="http://schemas.openxmlformats.org/drawingml/2006/picture">
                <pic:pic xmlns:pic="http://schemas.openxmlformats.org/drawingml/2006/picture">
                  <pic:nvPicPr>
                    <pic:cNvPr id="6152" name="Picture 6152"/>
                    <pic:cNvPicPr/>
                  </pic:nvPicPr>
                  <pic:blipFill>
                    <a:blip r:embed="rId42" cstate="email">
                      <a:extLst>
                        <a:ext uri="{28A0092B-C50C-407E-A947-70E740481C1C}">
                          <a14:useLocalDpi xmlns:a14="http://schemas.microsoft.com/office/drawing/2010/main"/>
                        </a:ext>
                      </a:extLst>
                    </a:blip>
                    <a:stretch>
                      <a:fillRect/>
                    </a:stretch>
                  </pic:blipFill>
                  <pic:spPr>
                    <a:xfrm>
                      <a:off x="0" y="0"/>
                      <a:ext cx="3810308" cy="4906083"/>
                    </a:xfrm>
                    <a:prstGeom prst="rect">
                      <a:avLst/>
                    </a:prstGeom>
                  </pic:spPr>
                </pic:pic>
              </a:graphicData>
            </a:graphic>
          </wp:inline>
        </w:drawing>
      </w:r>
      <w:r>
        <w:t xml:space="preserve"> </w:t>
      </w:r>
    </w:p>
    <w:p w14:paraId="64D2F187" w14:textId="753F15AE" w:rsidR="00D32317" w:rsidRDefault="00252BBF" w:rsidP="00D32317">
      <w:pPr>
        <w:pStyle w:val="Caption"/>
      </w:pPr>
      <w:bookmarkStart w:id="42" w:name="_Ref39241774"/>
      <w:r>
        <w:t>Figure</w:t>
      </w:r>
      <w:r w:rsidR="00D32317">
        <w:t xml:space="preserve"> </w:t>
      </w:r>
      <w:r w:rsidR="00E67EC2">
        <w:fldChar w:fldCharType="begin"/>
      </w:r>
      <w:r w:rsidR="00E67EC2">
        <w:instrText xml:space="preserve"> STYLEREF 1 \s </w:instrText>
      </w:r>
      <w:r w:rsidR="00E67EC2">
        <w:fldChar w:fldCharType="separate"/>
      </w:r>
      <w:r w:rsidR="00BE5F47">
        <w:rPr>
          <w:noProof/>
        </w:rPr>
        <w:t>3</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8</w:t>
      </w:r>
      <w:r w:rsidR="00E67EC2">
        <w:fldChar w:fldCharType="end"/>
      </w:r>
      <w:bookmarkEnd w:id="41"/>
      <w:bookmarkEnd w:id="42"/>
      <w:r w:rsidR="00D32317">
        <w:t xml:space="preserve"> Location (year) of Australian </w:t>
      </w:r>
      <w:r w:rsidR="0045757F">
        <w:t>grayling</w:t>
      </w:r>
      <w:r w:rsidR="00D32317">
        <w:t xml:space="preserve"> records. Note all records post 1985 are downstream of the Cardinia Creek drop structure.</w:t>
      </w:r>
    </w:p>
    <w:p w14:paraId="2E0671E4" w14:textId="4B0D41CF" w:rsidR="00C360C5" w:rsidRPr="002266DE" w:rsidRDefault="00EC3EE7" w:rsidP="00C360C5">
      <w:pPr>
        <w:pStyle w:val="Para0"/>
      </w:pPr>
      <w:r>
        <w:rPr>
          <w:noProof/>
        </w:rPr>
        <w:drawing>
          <wp:inline distT="0" distB="0" distL="0" distR="0" wp14:anchorId="56A2845B" wp14:editId="6DAA965D">
            <wp:extent cx="6296660" cy="2476500"/>
            <wp:effectExtent l="0" t="0" r="8890" b="0"/>
            <wp:docPr id="6156" name="Picture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6296660" cy="2476500"/>
                    </a:xfrm>
                    <a:prstGeom prst="rect">
                      <a:avLst/>
                    </a:prstGeom>
                  </pic:spPr>
                </pic:pic>
              </a:graphicData>
            </a:graphic>
          </wp:inline>
        </w:drawing>
      </w:r>
    </w:p>
    <w:p w14:paraId="62B9BF4B" w14:textId="35B6B30F" w:rsidR="00C360C5" w:rsidRDefault="00252BBF" w:rsidP="00C360C5">
      <w:pPr>
        <w:pStyle w:val="Caption"/>
      </w:pPr>
      <w:bookmarkStart w:id="43" w:name="_Ref26544297"/>
      <w:r>
        <w:t>Figure</w:t>
      </w:r>
      <w:r w:rsidR="00C360C5">
        <w:t xml:space="preserve"> </w:t>
      </w:r>
      <w:r w:rsidR="00E67EC2">
        <w:fldChar w:fldCharType="begin"/>
      </w:r>
      <w:r w:rsidR="00E67EC2">
        <w:instrText xml:space="preserve"> STYLEREF 1 \s </w:instrText>
      </w:r>
      <w:r w:rsidR="00E67EC2">
        <w:fldChar w:fldCharType="separate"/>
      </w:r>
      <w:r w:rsidR="00BE5F47">
        <w:rPr>
          <w:noProof/>
        </w:rPr>
        <w:t>3</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9</w:t>
      </w:r>
      <w:r w:rsidR="00E67EC2">
        <w:fldChar w:fldCharType="end"/>
      </w:r>
      <w:bookmarkEnd w:id="43"/>
      <w:r w:rsidR="00C360C5">
        <w:t xml:space="preserve"> Cardinia Creek Drop Structure (left - showing crest and spillway) and fishway (right - showing culvert through earth wall)</w:t>
      </w:r>
    </w:p>
    <w:p w14:paraId="4B45BE58" w14:textId="77777777" w:rsidR="003B6B5A" w:rsidRPr="003B6B5A" w:rsidRDefault="003B6B5A" w:rsidP="003B6B5A">
      <w:pPr>
        <w:pStyle w:val="Para0"/>
      </w:pPr>
    </w:p>
    <w:p w14:paraId="0AEC86FA" w14:textId="497795A2" w:rsidR="00C360C5" w:rsidRDefault="00C360C5" w:rsidP="00C360C5">
      <w:pPr>
        <w:pStyle w:val="Para0"/>
      </w:pPr>
      <w:r>
        <w:lastRenderedPageBreak/>
        <w:t>The creek through the lower reaches comprises a channelised section from Westernport Bay upstream to around McCormacks Road</w:t>
      </w:r>
      <w:r w:rsidR="00987D1F">
        <w:t xml:space="preserve"> (</w:t>
      </w:r>
      <w:r w:rsidR="00987D1F">
        <w:fldChar w:fldCharType="begin"/>
      </w:r>
      <w:r w:rsidR="00987D1F">
        <w:instrText xml:space="preserve"> REF _Ref39241850 \h </w:instrText>
      </w:r>
      <w:r w:rsidR="00987D1F">
        <w:fldChar w:fldCharType="separate"/>
      </w:r>
      <w:r w:rsidR="00BE5F47">
        <w:t xml:space="preserve">Figure </w:t>
      </w:r>
      <w:r w:rsidR="00BE5F47">
        <w:rPr>
          <w:noProof/>
        </w:rPr>
        <w:t>3</w:t>
      </w:r>
      <w:r w:rsidR="00BE5F47">
        <w:noBreakHyphen/>
      </w:r>
      <w:r w:rsidR="00BE5F47">
        <w:rPr>
          <w:noProof/>
        </w:rPr>
        <w:t>10</w:t>
      </w:r>
      <w:r w:rsidR="00987D1F">
        <w:fldChar w:fldCharType="end"/>
      </w:r>
      <w:r w:rsidR="00987D1F">
        <w:t>).</w:t>
      </w:r>
      <w:r>
        <w:t xml:space="preserve">  Upstream of McCormacks Road the creek flows through a more meandering natural channel albeit with deeply incised with high banks that are prone to slumping.  However, the riparian zone is relatively well vegetated and pool and shallow run habitat is present with areas of good cover.  Rock ramp style fishways have been constructed at McCormacks Road, at six locations upstream and at the Cardinia Creek Drop Structure.  The fishways were re-constructed in 2018 (to replace existing structures built in 2002 at smaller erosion heads but which had been damaged by floods in the mid 2000s).  The Drop Structure fishway was not upgraded at the time and there are concerns about its current effectiveness </w:t>
      </w:r>
      <w:r>
        <w:fldChar w:fldCharType="begin"/>
      </w:r>
      <w:r>
        <w:instrText xml:space="preserve"> ADDIN EN.CITE &lt;EndNote&gt;&lt;Cite&gt;&lt;Author&gt;Ecology Australia&lt;/Author&gt;&lt;Year&gt;2019&lt;/Year&gt;&lt;RecNum&gt;3701&lt;/RecNum&gt;&lt;DisplayText&gt;(Ecology Australia, 2019)&lt;/DisplayText&gt;&lt;record&gt;&lt;rec-number&gt;3701&lt;/rec-number&gt;&lt;foreign-keys&gt;&lt;key app="EN" db-id="d0s2errflvze20evzxyvr9xzwfwste2v9tf2" timestamp="1575595633"&gt;3701&lt;/key&gt;&lt;/foreign-keys&gt;&lt;ref-type name="Report"&gt;27&lt;/ref-type&gt;&lt;contributors&gt;&lt;authors&gt;&lt;author&gt;Ecology Australia,&lt;/author&gt;&lt;/authors&gt;&lt;tertiary-authors&gt;&lt;author&gt;Report to Melbourne Water&lt;/author&gt;&lt;/tertiary-authors&gt;&lt;/contributors&gt;&lt;titles&gt;&lt;title&gt;Cardinia Creek fishway monitoring&lt;/title&gt;&lt;/titles&gt;&lt;dates&gt;&lt;year&gt;2019&lt;/year&gt;&lt;/dates&gt;&lt;publisher&gt;Report to Melbourne Water&lt;/publisher&gt;&lt;urls&gt;&lt;/urls&gt;&lt;/record&gt;&lt;/Cite&gt;&lt;/EndNote&gt;</w:instrText>
      </w:r>
      <w:r>
        <w:fldChar w:fldCharType="separate"/>
      </w:r>
      <w:r>
        <w:rPr>
          <w:noProof/>
        </w:rPr>
        <w:t>(Ecology Australia, 2019)</w:t>
      </w:r>
      <w:r>
        <w:fldChar w:fldCharType="end"/>
      </w:r>
      <w:r>
        <w:t>.</w:t>
      </w:r>
      <w:r w:rsidRPr="002266DE">
        <w:t xml:space="preserve"> </w:t>
      </w:r>
    </w:p>
    <w:p w14:paraId="36053E44" w14:textId="3F002CEA" w:rsidR="00987D1F" w:rsidRDefault="00987D1F" w:rsidP="00C360C5">
      <w:pPr>
        <w:pStyle w:val="Para0"/>
      </w:pPr>
      <w:r>
        <w:rPr>
          <w:noProof/>
        </w:rPr>
        <w:drawing>
          <wp:inline distT="0" distB="0" distL="0" distR="0" wp14:anchorId="09541C03" wp14:editId="2071E769">
            <wp:extent cx="6296660" cy="4873625"/>
            <wp:effectExtent l="0" t="0" r="889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96660" cy="4873625"/>
                    </a:xfrm>
                    <a:prstGeom prst="rect">
                      <a:avLst/>
                    </a:prstGeom>
                  </pic:spPr>
                </pic:pic>
              </a:graphicData>
            </a:graphic>
          </wp:inline>
        </w:drawing>
      </w:r>
    </w:p>
    <w:p w14:paraId="63DBE36A" w14:textId="1A38860A" w:rsidR="00987D1F" w:rsidRDefault="00252BBF" w:rsidP="00987D1F">
      <w:pPr>
        <w:pStyle w:val="Caption"/>
      </w:pPr>
      <w:bookmarkStart w:id="44" w:name="_Ref39241850"/>
      <w:r>
        <w:t>Figure</w:t>
      </w:r>
      <w:r w:rsidR="00987D1F">
        <w:t xml:space="preserve"> </w:t>
      </w:r>
      <w:r w:rsidR="00E67EC2">
        <w:fldChar w:fldCharType="begin"/>
      </w:r>
      <w:r w:rsidR="00E67EC2">
        <w:instrText xml:space="preserve"> STYLEREF 1 \s </w:instrText>
      </w:r>
      <w:r w:rsidR="00E67EC2">
        <w:fldChar w:fldCharType="separate"/>
      </w:r>
      <w:r w:rsidR="00BE5F47">
        <w:rPr>
          <w:noProof/>
        </w:rPr>
        <w:t>3</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10</w:t>
      </w:r>
      <w:r w:rsidR="00E67EC2">
        <w:fldChar w:fldCharType="end"/>
      </w:r>
      <w:bookmarkEnd w:id="44"/>
      <w:r w:rsidR="00987D1F">
        <w:t xml:space="preserve"> Lower Cardinia Creek </w:t>
      </w:r>
    </w:p>
    <w:p w14:paraId="2F02D96C" w14:textId="77777777" w:rsidR="00C360C5" w:rsidRDefault="00C360C5" w:rsidP="00C360C5">
      <w:pPr>
        <w:pStyle w:val="Heading3"/>
      </w:pPr>
      <w:bookmarkStart w:id="45" w:name="_Toc27065913"/>
      <w:bookmarkStart w:id="46" w:name="_Toc69480701"/>
      <w:r>
        <w:t>Critical flow components</w:t>
      </w:r>
      <w:bookmarkEnd w:id="45"/>
      <w:bookmarkEnd w:id="46"/>
    </w:p>
    <w:p w14:paraId="1B5BCB58" w14:textId="489DFE77" w:rsidR="00C360C5" w:rsidRDefault="00C360C5" w:rsidP="00C360C5">
      <w:r>
        <w:t>Critical components of the flow regime</w:t>
      </w:r>
      <w:r w:rsidR="00D32317">
        <w:t xml:space="preserve"> for Australian </w:t>
      </w:r>
      <w:r w:rsidR="0045757F">
        <w:t>grayling</w:t>
      </w:r>
      <w:r>
        <w:t xml:space="preserve"> are low flows to maintain habitat and localised movement opportunities through rock fishways, higher flows in autumn to trigger downstream migration of adults, spawning and return movements to preferred habitat</w:t>
      </w:r>
      <w:r w:rsidR="00761C5F">
        <w:t>,</w:t>
      </w:r>
      <w:r>
        <w:t xml:space="preserve"> and higher flows in spring to facilitate upstream migration of juveniles.</w:t>
      </w:r>
    </w:p>
    <w:p w14:paraId="7451DC6D" w14:textId="1E2BF13B" w:rsidR="00157971" w:rsidRDefault="00761C5F" w:rsidP="00372344">
      <w:pPr>
        <w:rPr>
          <w:lang w:val="en-AU"/>
        </w:rPr>
      </w:pPr>
      <w:r>
        <w:t>Flow threats include: r</w:t>
      </w:r>
      <w:r w:rsidRPr="0068373E">
        <w:t xml:space="preserve">eduction in summer low flows </w:t>
      </w:r>
      <w:r>
        <w:t>(</w:t>
      </w:r>
      <w:r w:rsidRPr="0068373E">
        <w:t>reduces access to suitable habitat and creates barriers to movement (i.e. too shallow flow)</w:t>
      </w:r>
      <w:r>
        <w:t>, c</w:t>
      </w:r>
      <w:r w:rsidRPr="0068373E">
        <w:t>hange in frequency, timing and duration autumn freshes and spring high flows</w:t>
      </w:r>
      <w:r>
        <w:t>; i</w:t>
      </w:r>
      <w:r w:rsidRPr="0068373E">
        <w:t>ncreased frequency and magnitude of higher flows that could cause excessive bed and bank erosion</w:t>
      </w:r>
      <w:r>
        <w:t>, and b</w:t>
      </w:r>
      <w:r w:rsidRPr="0068373E">
        <w:t xml:space="preserve">arriers to movement – </w:t>
      </w:r>
      <w:r w:rsidR="00987D1F">
        <w:t xml:space="preserve">in particular the </w:t>
      </w:r>
      <w:r w:rsidRPr="0068373E">
        <w:t>drop structure</w:t>
      </w:r>
      <w:r w:rsidR="00987D1F">
        <w:t>,</w:t>
      </w:r>
      <w:r w:rsidRPr="0068373E">
        <w:t xml:space="preserve"> </w:t>
      </w:r>
      <w:r w:rsidR="00987D1F">
        <w:t xml:space="preserve">which </w:t>
      </w:r>
      <w:r w:rsidRPr="0068373E">
        <w:t>is likely to represent a barrier to upstream movement</w:t>
      </w:r>
      <w:r w:rsidR="00987D1F">
        <w:t>.</w:t>
      </w:r>
    </w:p>
    <w:p w14:paraId="7FFC0BBE" w14:textId="77777777" w:rsidR="007159A8" w:rsidRPr="007159A8" w:rsidRDefault="007159A8" w:rsidP="007159A8">
      <w:pPr>
        <w:pStyle w:val="Para0"/>
        <w:rPr>
          <w:lang w:val="en-AU"/>
        </w:rPr>
      </w:pPr>
    </w:p>
    <w:p w14:paraId="035B8438" w14:textId="7238A1A5" w:rsidR="00BB7F95" w:rsidRDefault="00BA089D" w:rsidP="00BA089D">
      <w:pPr>
        <w:pStyle w:val="Heading1"/>
        <w:rPr>
          <w:lang w:val="en-AU"/>
        </w:rPr>
      </w:pPr>
      <w:bookmarkStart w:id="47" w:name="_Ref39238997"/>
      <w:bookmarkStart w:id="48" w:name="_Toc69480702"/>
      <w:r>
        <w:rPr>
          <w:lang w:val="en-AU"/>
        </w:rPr>
        <w:lastRenderedPageBreak/>
        <w:t xml:space="preserve">Fish risk assessment </w:t>
      </w:r>
      <w:bookmarkEnd w:id="47"/>
      <w:r w:rsidR="00C25CAF">
        <w:rPr>
          <w:lang w:val="en-AU"/>
        </w:rPr>
        <w:t>approach</w:t>
      </w:r>
      <w:bookmarkEnd w:id="48"/>
      <w:r>
        <w:rPr>
          <w:lang w:val="en-AU"/>
        </w:rPr>
        <w:t xml:space="preserve"> </w:t>
      </w:r>
    </w:p>
    <w:p w14:paraId="6BFCEEFD" w14:textId="3B917F24" w:rsidR="00C25CAF" w:rsidRDefault="00C25CAF" w:rsidP="00C25CAF">
      <w:pPr>
        <w:pStyle w:val="Heading2"/>
      </w:pPr>
      <w:bookmarkStart w:id="49" w:name="_Toc69480703"/>
      <w:r>
        <w:t>Broad approach</w:t>
      </w:r>
      <w:bookmarkEnd w:id="49"/>
    </w:p>
    <w:p w14:paraId="1566646B" w14:textId="35566BFB" w:rsidR="000F39F0" w:rsidRDefault="00302065" w:rsidP="002F0A5A">
      <w:pPr>
        <w:pStyle w:val="Para0narrow"/>
      </w:pPr>
      <w:r>
        <w:t xml:space="preserve">The potential risks to fish associated with the PSP development are associated with changes to </w:t>
      </w:r>
      <w:r w:rsidR="000F39F0">
        <w:t>ecologically critical stream</w:t>
      </w:r>
      <w:r>
        <w:t>flows</w:t>
      </w:r>
      <w:r w:rsidR="000F39F0">
        <w:t xml:space="preserve">, which affect </w:t>
      </w:r>
      <w:r w:rsidR="00E94BF5">
        <w:t xml:space="preserve">life history cues, </w:t>
      </w:r>
      <w:r w:rsidR="000F39F0">
        <w:t>hydraulic and physical conditions,</w:t>
      </w:r>
      <w:r>
        <w:t xml:space="preserve"> and</w:t>
      </w:r>
      <w:r w:rsidR="002F0A5A">
        <w:t xml:space="preserve"> </w:t>
      </w:r>
      <w:r w:rsidR="000F39F0">
        <w:t xml:space="preserve">important </w:t>
      </w:r>
      <w:r w:rsidR="002F0A5A">
        <w:t>habitat.</w:t>
      </w:r>
      <w:r w:rsidR="00634D74">
        <w:t xml:space="preserve"> </w:t>
      </w:r>
      <w:r w:rsidR="008D4383">
        <w:t xml:space="preserve">The risk assessment framework is based around a </w:t>
      </w:r>
      <w:r w:rsidR="0042145A">
        <w:t>quantitative</w:t>
      </w:r>
      <w:r w:rsidR="008D4383">
        <w:t xml:space="preserve"> assessment of specific hydrological metrics that are relevant to critical ecological requirements for fish</w:t>
      </w:r>
      <w:r w:rsidR="00CE3361">
        <w:t xml:space="preserve">.  The approach is described in more detail in the </w:t>
      </w:r>
      <w:r w:rsidR="00CE3361" w:rsidRPr="00CE3361">
        <w:rPr>
          <w:i/>
        </w:rPr>
        <w:t xml:space="preserve">Cardinia Creek </w:t>
      </w:r>
      <w:r w:rsidR="00CE3361">
        <w:rPr>
          <w:i/>
        </w:rPr>
        <w:t>h</w:t>
      </w:r>
      <w:r w:rsidR="00CE3361" w:rsidRPr="00CE3361">
        <w:rPr>
          <w:i/>
        </w:rPr>
        <w:t>ydrological and fish risk assessment</w:t>
      </w:r>
      <w:r w:rsidR="00CE3361">
        <w:rPr>
          <w:i/>
        </w:rPr>
        <w:t>:</w:t>
      </w:r>
      <w:r w:rsidR="00CE3361" w:rsidRPr="00CE3361">
        <w:rPr>
          <w:i/>
        </w:rPr>
        <w:t xml:space="preserve"> Methods Statement</w:t>
      </w:r>
      <w:r w:rsidR="00CE3361">
        <w:t xml:space="preserve"> </w:t>
      </w:r>
      <w:r w:rsidR="00CE3361">
        <w:fldChar w:fldCharType="begin"/>
      </w:r>
      <w:r w:rsidR="00CE3361">
        <w:instrText xml:space="preserve"> ADDIN EN.CITE &lt;EndNote&gt;&lt;Cite&gt;&lt;Author&gt;Jacobs&lt;/Author&gt;&lt;Year&gt;2019&lt;/Year&gt;&lt;RecNum&gt;3708&lt;/RecNum&gt;&lt;DisplayText&gt;(Jacobs, 2019)&lt;/DisplayText&gt;&lt;record&gt;&lt;rec-number&gt;3708&lt;/rec-number&gt;&lt;foreign-keys&gt;&lt;key app="EN" db-id="d0s2errflvze20evzxyvr9xzwfwste2v9tf2" timestamp="1581916722"&gt;3708&lt;/key&gt;&lt;/foreign-keys&gt;&lt;ref-type name="Report"&gt;27&lt;/ref-type&gt;&lt;contributors&gt;&lt;authors&gt;&lt;author&gt;Jacobs&lt;/author&gt;&lt;/authors&gt;&lt;tertiary-authors&gt;&lt;author&gt;Report by Jacobs for Melbourne Water&lt;/author&gt;&lt;/tertiary-authors&gt;&lt;/contributors&gt;&lt;titles&gt;&lt;title&gt;Cardinia Creek Conservation Area Hydrology and Fish Investigation: Methods statement&lt;/title&gt;&lt;/titles&gt;&lt;dates&gt;&lt;year&gt;2019&lt;/year&gt;&lt;/dates&gt;&lt;urls&gt;&lt;/urls&gt;&lt;/record&gt;&lt;/Cite&gt;&lt;/EndNote&gt;</w:instrText>
      </w:r>
      <w:r w:rsidR="00CE3361">
        <w:fldChar w:fldCharType="separate"/>
      </w:r>
      <w:r w:rsidR="00CE3361">
        <w:rPr>
          <w:noProof/>
        </w:rPr>
        <w:t>(Jacobs, 2019)</w:t>
      </w:r>
      <w:r w:rsidR="00CE3361">
        <w:fldChar w:fldCharType="end"/>
      </w:r>
      <w:r w:rsidR="00CE3361">
        <w:t xml:space="preserve"> and summarised below</w:t>
      </w:r>
      <w:r w:rsidR="008D4383">
        <w:t>.</w:t>
      </w:r>
      <w:r w:rsidR="000F39F0">
        <w:t xml:space="preserve"> </w:t>
      </w:r>
    </w:p>
    <w:p w14:paraId="28BDBF05" w14:textId="12A4973A" w:rsidR="00C25CAF" w:rsidRDefault="000F39F0" w:rsidP="00DB537A">
      <w:pPr>
        <w:pStyle w:val="Para0"/>
      </w:pPr>
      <w:r>
        <w:t>The risk assessment process include</w:t>
      </w:r>
      <w:r w:rsidR="00CE3361">
        <w:t>s a</w:t>
      </w:r>
      <w:r>
        <w:t xml:space="preserve"> number of specific steps. </w:t>
      </w:r>
      <w:r w:rsidR="00CE3361">
        <w:t xml:space="preserve"> H</w:t>
      </w:r>
      <w:r w:rsidR="008D4383">
        <w:t>ydrologic</w:t>
      </w:r>
      <w:r w:rsidR="00CE3361">
        <w:t>al</w:t>
      </w:r>
      <w:r w:rsidR="008D4383">
        <w:t xml:space="preserve"> modelling was used to</w:t>
      </w:r>
      <w:r w:rsidR="00CE3361">
        <w:t xml:space="preserve"> derive stream flows in Cardinia Creek under natural and current conditions. The impacts of development in the three PSPs were then added to the current stream flow regime using MUSIC model outputs from each PSP</w:t>
      </w:r>
      <w:r w:rsidR="00C25CAF">
        <w:t xml:space="preserve">. </w:t>
      </w:r>
      <w:r w:rsidR="0083479B">
        <w:t xml:space="preserve"> </w:t>
      </w:r>
      <w:r w:rsidR="006800F0">
        <w:t xml:space="preserve">Flows were then analysed to provide a quantitative assessment of changes in the </w:t>
      </w:r>
      <w:r>
        <w:t xml:space="preserve">frequency, duration and occurrence of </w:t>
      </w:r>
      <w:r w:rsidR="006800F0">
        <w:t xml:space="preserve">flows of a particular magnitude. These flow magnitudes relate to </w:t>
      </w:r>
      <w:r>
        <w:t>critical flow components</w:t>
      </w:r>
      <w:r w:rsidR="006800F0">
        <w:t xml:space="preserve"> and flow volumes that </w:t>
      </w:r>
      <w:r w:rsidR="00D529B4">
        <w:t xml:space="preserve">correlate to specific critical ecological </w:t>
      </w:r>
      <w:r w:rsidR="00C25CAF">
        <w:t xml:space="preserve">risk </w:t>
      </w:r>
      <w:r w:rsidR="00D529B4">
        <w:t>factors</w:t>
      </w:r>
      <w:r w:rsidR="006800F0">
        <w:t>, f</w:t>
      </w:r>
      <w:r w:rsidR="00D529B4">
        <w:t>or example</w:t>
      </w:r>
      <w:r w:rsidR="006800F0">
        <w:t xml:space="preserve"> high f</w:t>
      </w:r>
      <w:r w:rsidR="00D529B4">
        <w:t>lows to inundate low-lying backwater areas and known dwarf galaxias habitat</w:t>
      </w:r>
      <w:r w:rsidR="006800F0">
        <w:t xml:space="preserve">, and autumn ‘fresh’ flows to trigger migration for Australian </w:t>
      </w:r>
      <w:r w:rsidR="0045757F">
        <w:t>grayling</w:t>
      </w:r>
      <w:r w:rsidR="006800F0">
        <w:t xml:space="preserve">. </w:t>
      </w:r>
      <w:r w:rsidR="00DB537A" w:rsidRPr="002F0A5A">
        <w:t xml:space="preserve">Flow thresholds / criteria relevant to dwarf galaxias and Australian </w:t>
      </w:r>
      <w:r w:rsidR="0045757F">
        <w:t>grayling</w:t>
      </w:r>
      <w:r w:rsidR="00DB537A">
        <w:t xml:space="preserve"> </w:t>
      </w:r>
      <w:r w:rsidR="00C25CAF">
        <w:t xml:space="preserve">were derived from a combination of literature reviews, expert opinion and the use of hydraulic models to estimate critical flow thresholds.  </w:t>
      </w:r>
    </w:p>
    <w:p w14:paraId="37689731" w14:textId="48F95BB8" w:rsidR="00C25CAF" w:rsidRDefault="00C25CAF" w:rsidP="00C25CAF">
      <w:pPr>
        <w:pStyle w:val="Heading2"/>
      </w:pPr>
      <w:bookmarkStart w:id="50" w:name="_Ref42763641"/>
      <w:bookmarkStart w:id="51" w:name="_Toc69480704"/>
      <w:r>
        <w:t xml:space="preserve">Hydrological </w:t>
      </w:r>
      <w:r w:rsidR="001765F1">
        <w:t xml:space="preserve">and hydraulic </w:t>
      </w:r>
      <w:r>
        <w:t>modelling</w:t>
      </w:r>
      <w:bookmarkEnd w:id="50"/>
      <w:bookmarkEnd w:id="51"/>
    </w:p>
    <w:p w14:paraId="448660CB" w14:textId="77777777" w:rsidR="001765F1" w:rsidRDefault="001765F1" w:rsidP="001765F1">
      <w:pPr>
        <w:pStyle w:val="Heading3"/>
        <w:rPr>
          <w:lang w:val="en-AU"/>
        </w:rPr>
      </w:pPr>
      <w:bookmarkStart w:id="52" w:name="_Toc69480705"/>
      <w:r>
        <w:rPr>
          <w:lang w:val="en-AU"/>
        </w:rPr>
        <w:t>Hydrological modelling</w:t>
      </w:r>
      <w:bookmarkEnd w:id="52"/>
    </w:p>
    <w:p w14:paraId="723C165F" w14:textId="0231CA03" w:rsidR="001765F1" w:rsidRDefault="001765F1" w:rsidP="005B631C">
      <w:pPr>
        <w:pStyle w:val="Para0"/>
        <w:rPr>
          <w:lang w:val="en-AU"/>
        </w:rPr>
      </w:pPr>
      <w:r>
        <w:rPr>
          <w:lang w:val="en-AU"/>
        </w:rPr>
        <w:t xml:space="preserve">The hydrological </w:t>
      </w:r>
      <w:r w:rsidRPr="005B631C">
        <w:t>modelling</w:t>
      </w:r>
      <w:r>
        <w:rPr>
          <w:lang w:val="en-AU"/>
        </w:rPr>
        <w:t xml:space="preserve"> process use</w:t>
      </w:r>
      <w:r w:rsidR="005B631C">
        <w:rPr>
          <w:lang w:val="en-AU"/>
        </w:rPr>
        <w:t>d</w:t>
      </w:r>
      <w:r>
        <w:rPr>
          <w:lang w:val="en-AU"/>
        </w:rPr>
        <w:t xml:space="preserve"> Source and MUSIC modelling software to </w:t>
      </w:r>
      <w:r w:rsidR="00240E3A">
        <w:rPr>
          <w:lang w:val="en-AU"/>
        </w:rPr>
        <w:t xml:space="preserve">simulate </w:t>
      </w:r>
      <w:r>
        <w:t xml:space="preserve">changes to catchment land use, runoff and resultant changes to stream flow.  </w:t>
      </w:r>
    </w:p>
    <w:p w14:paraId="0633376C" w14:textId="77777777" w:rsidR="001765F1" w:rsidRDefault="001765F1" w:rsidP="005B631C">
      <w:pPr>
        <w:pStyle w:val="Para0"/>
        <w:rPr>
          <w:lang w:val="en-AU"/>
        </w:rPr>
      </w:pPr>
      <w:r>
        <w:rPr>
          <w:lang w:val="en-AU"/>
        </w:rPr>
        <w:t xml:space="preserve">The </w:t>
      </w:r>
      <w:r w:rsidRPr="005B631C">
        <w:t>hydrological</w:t>
      </w:r>
      <w:r>
        <w:rPr>
          <w:lang w:val="en-AU"/>
        </w:rPr>
        <w:t xml:space="preserve"> model was developed to:</w:t>
      </w:r>
    </w:p>
    <w:p w14:paraId="75E1D5EA" w14:textId="5049F86C" w:rsidR="001765F1" w:rsidRPr="005B631C" w:rsidRDefault="001765F1" w:rsidP="005B631C">
      <w:pPr>
        <w:pStyle w:val="Para0bullet"/>
      </w:pPr>
      <w:r w:rsidRPr="005B631C">
        <w:t>Provide daily flows at a range of locations in the catchment</w:t>
      </w:r>
      <w:r w:rsidR="005B631C" w:rsidRPr="005B631C">
        <w:t>;</w:t>
      </w:r>
    </w:p>
    <w:p w14:paraId="73D86E3C" w14:textId="4FB67A04" w:rsidR="001765F1" w:rsidRPr="005B631C" w:rsidRDefault="001765F1" w:rsidP="005B631C">
      <w:pPr>
        <w:pStyle w:val="Para0bullet"/>
      </w:pPr>
      <w:r w:rsidRPr="005B631C">
        <w:t>Provide results at a sufficient temporal and spatial scale to assess trends in stream flow over time, and changes to critical flow criteria</w:t>
      </w:r>
      <w:r w:rsidR="005B631C" w:rsidRPr="005B631C">
        <w:t>;</w:t>
      </w:r>
    </w:p>
    <w:p w14:paraId="5109FA4B" w14:textId="745AF619" w:rsidR="001765F1" w:rsidRPr="005B631C" w:rsidRDefault="001765F1" w:rsidP="005B631C">
      <w:pPr>
        <w:pStyle w:val="Para0bullet"/>
      </w:pPr>
      <w:r w:rsidRPr="005B631C">
        <w:t>Enable scenario modelling, including changes to land use, climate, stormwater management and streamflow, from pre-development condition prior to expansion of the urban growth boundary (pre 2010), and current (2019) and post-development conditions (Full PSP design)</w:t>
      </w:r>
      <w:r w:rsidR="005B631C" w:rsidRPr="005B631C">
        <w:t>;</w:t>
      </w:r>
    </w:p>
    <w:p w14:paraId="06D3EAE3" w14:textId="65F227DC" w:rsidR="001765F1" w:rsidRPr="005B631C" w:rsidRDefault="001765F1" w:rsidP="005B631C">
      <w:pPr>
        <w:pStyle w:val="Para0bullet"/>
      </w:pPr>
      <w:r w:rsidRPr="005B631C">
        <w:t>Derive flows for wet, average and dry climate condition</w:t>
      </w:r>
      <w:r w:rsidR="005B631C" w:rsidRPr="005B631C">
        <w:t>.</w:t>
      </w:r>
    </w:p>
    <w:p w14:paraId="0AE6BF90" w14:textId="1D12576F" w:rsidR="001765F1" w:rsidRDefault="001765F1" w:rsidP="005B631C">
      <w:pPr>
        <w:pStyle w:val="Para0"/>
        <w:rPr>
          <w:lang w:val="en-AU"/>
        </w:rPr>
      </w:pPr>
      <w:r>
        <w:rPr>
          <w:lang w:val="en-AU"/>
        </w:rPr>
        <w:t>Integrated hydrological modelling was completed using a MUSIC model for each PSP and a Source catchment model</w:t>
      </w:r>
      <w:r w:rsidR="0016602E">
        <w:rPr>
          <w:lang w:val="en-AU"/>
        </w:rPr>
        <w:t xml:space="preserve"> for Cardinia </w:t>
      </w:r>
      <w:r w:rsidR="00AB3B3B">
        <w:rPr>
          <w:lang w:val="en-AU"/>
        </w:rPr>
        <w:t xml:space="preserve">Creek </w:t>
      </w:r>
      <w:r w:rsidR="0016602E">
        <w:rPr>
          <w:lang w:val="en-AU"/>
        </w:rPr>
        <w:t>Catchment</w:t>
      </w:r>
      <w:r>
        <w:rPr>
          <w:lang w:val="en-AU"/>
        </w:rPr>
        <w:t xml:space="preserve">. </w:t>
      </w:r>
      <w:r w:rsidR="0016602E">
        <w:rPr>
          <w:lang w:val="en-AU"/>
        </w:rPr>
        <w:t xml:space="preserve">The Source and MUSIC models were established models provided by Melbourne Water. </w:t>
      </w:r>
      <w:r>
        <w:rPr>
          <w:lang w:val="en-AU"/>
        </w:rPr>
        <w:t>These methods are described briefly below.</w:t>
      </w:r>
      <w:r w:rsidR="00D255EB">
        <w:rPr>
          <w:lang w:val="en-AU"/>
        </w:rPr>
        <w:t xml:space="preserve"> </w:t>
      </w:r>
      <w:r w:rsidR="00D255EB" w:rsidRPr="00984897">
        <w:t xml:space="preserve"> Further details on the Source catchment and PSP MUSIC </w:t>
      </w:r>
      <w:r w:rsidR="001B305A">
        <w:t>modelling methodology</w:t>
      </w:r>
      <w:r w:rsidR="00D255EB" w:rsidRPr="00984897">
        <w:t xml:space="preserve"> for this study </w:t>
      </w:r>
      <w:r w:rsidR="00D255EB">
        <w:t xml:space="preserve">are </w:t>
      </w:r>
      <w:r w:rsidR="00E60164">
        <w:t xml:space="preserve">provide in </w:t>
      </w:r>
      <w:r w:rsidR="001B305A" w:rsidRPr="00851780">
        <w:fldChar w:fldCharType="begin"/>
      </w:r>
      <w:r w:rsidR="001B305A" w:rsidRPr="00851780">
        <w:instrText xml:space="preserve"> REF _Ref64631384 \r \h </w:instrText>
      </w:r>
      <w:r w:rsidR="00851780">
        <w:instrText xml:space="preserve"> \* MERGEFORMAT </w:instrText>
      </w:r>
      <w:r w:rsidR="001B305A" w:rsidRPr="00851780">
        <w:fldChar w:fldCharType="separate"/>
      </w:r>
      <w:r w:rsidR="00BE5F47">
        <w:t>Appendix A</w:t>
      </w:r>
      <w:r w:rsidR="001B305A" w:rsidRPr="00851780">
        <w:fldChar w:fldCharType="end"/>
      </w:r>
      <w:r w:rsidR="001B305A" w:rsidRPr="00851780">
        <w:t>.</w:t>
      </w:r>
    </w:p>
    <w:p w14:paraId="514FBA86" w14:textId="77777777" w:rsidR="001765F1" w:rsidRDefault="001765F1" w:rsidP="005B631C">
      <w:pPr>
        <w:pStyle w:val="SectionSubheading2"/>
        <w:rPr>
          <w:lang w:val="en-AU"/>
        </w:rPr>
      </w:pPr>
      <w:r w:rsidRPr="000F6CCF">
        <w:rPr>
          <w:lang w:val="en-AU"/>
        </w:rPr>
        <w:t>MUSIC model</w:t>
      </w:r>
    </w:p>
    <w:p w14:paraId="7AB37DE5" w14:textId="2D3FF7ED" w:rsidR="001765F1" w:rsidRDefault="001765F1" w:rsidP="005B631C">
      <w:pPr>
        <w:pStyle w:val="Para0"/>
        <w:rPr>
          <w:lang w:val="en-AU"/>
        </w:rPr>
      </w:pPr>
      <w:r w:rsidRPr="000F6CCF">
        <w:rPr>
          <w:lang w:val="en-AU"/>
        </w:rPr>
        <w:t>The</w:t>
      </w:r>
      <w:r>
        <w:rPr>
          <w:lang w:val="en-AU"/>
        </w:rPr>
        <w:t xml:space="preserve"> </w:t>
      </w:r>
      <w:r w:rsidRPr="00797170">
        <w:rPr>
          <w:lang w:val="en-AU"/>
        </w:rPr>
        <w:t>PSP developments will substantially increase imperviousness</w:t>
      </w:r>
      <w:r>
        <w:rPr>
          <w:lang w:val="en-AU"/>
        </w:rPr>
        <w:t xml:space="preserve"> surface area, which will result in an</w:t>
      </w:r>
      <w:r w:rsidRPr="00797170">
        <w:rPr>
          <w:lang w:val="en-AU"/>
        </w:rPr>
        <w:t xml:space="preserve"> increase</w:t>
      </w:r>
      <w:r>
        <w:rPr>
          <w:lang w:val="en-AU"/>
        </w:rPr>
        <w:t xml:space="preserve"> in </w:t>
      </w:r>
      <w:r w:rsidRPr="00797170">
        <w:rPr>
          <w:lang w:val="en-AU"/>
        </w:rPr>
        <w:t xml:space="preserve">runoff and </w:t>
      </w:r>
      <w:r>
        <w:rPr>
          <w:lang w:val="en-AU"/>
        </w:rPr>
        <w:t xml:space="preserve">the potential for </w:t>
      </w:r>
      <w:r w:rsidRPr="00797170">
        <w:rPr>
          <w:lang w:val="en-AU"/>
        </w:rPr>
        <w:t xml:space="preserve">changed flow regime in Cardinia </w:t>
      </w:r>
      <w:r w:rsidR="007D200D">
        <w:rPr>
          <w:lang w:val="en-AU"/>
        </w:rPr>
        <w:t>Creek</w:t>
      </w:r>
      <w:r>
        <w:rPr>
          <w:lang w:val="en-AU"/>
        </w:rPr>
        <w:t xml:space="preserve">. A MUSIC model has been developed for each PSP to simulate </w:t>
      </w:r>
      <w:r w:rsidRPr="00797170">
        <w:rPr>
          <w:lang w:val="en-AU"/>
        </w:rPr>
        <w:t>stormwater and drainage management</w:t>
      </w:r>
      <w:r>
        <w:rPr>
          <w:lang w:val="en-AU"/>
        </w:rPr>
        <w:t xml:space="preserve">. The MUSIC model allows for assessment of sub-daily flow events, with flow outputs every six minutes. </w:t>
      </w:r>
      <w:r w:rsidR="00D255EB">
        <w:rPr>
          <w:lang w:val="en-AU"/>
        </w:rPr>
        <w:t>Nodes are available for each PSP outfall so that individual PSP impacts and cumulative impacts can be determined at spatially explicate locations relevant to specific outfall locations.</w:t>
      </w:r>
      <w:r w:rsidR="00C67393">
        <w:rPr>
          <w:lang w:val="en-AU"/>
        </w:rPr>
        <w:t xml:space="preserve"> Note, the MUSIC model used for Officer South Employment PSP includes the Officer PSP, although under current conditions flow form Officer PSP is directed to Gum Scrub Creek, bypassing the existing Officer South Drain.</w:t>
      </w:r>
    </w:p>
    <w:p w14:paraId="52F1A484" w14:textId="77777777" w:rsidR="001765F1" w:rsidRPr="0021636C" w:rsidRDefault="001765F1" w:rsidP="005B631C">
      <w:pPr>
        <w:pStyle w:val="SectionSubheading2"/>
        <w:rPr>
          <w:lang w:val="en-AU"/>
        </w:rPr>
      </w:pPr>
      <w:r w:rsidRPr="0021636C">
        <w:rPr>
          <w:lang w:val="en-AU"/>
        </w:rPr>
        <w:lastRenderedPageBreak/>
        <w:t>SOURCE model</w:t>
      </w:r>
    </w:p>
    <w:p w14:paraId="2BC9AE04" w14:textId="5A71B99C" w:rsidR="00610669" w:rsidRDefault="001765F1" w:rsidP="00610669">
      <w:pPr>
        <w:pStyle w:val="Para0"/>
        <w:rPr>
          <w:lang w:val="en-AU"/>
        </w:rPr>
      </w:pPr>
      <w:r>
        <w:rPr>
          <w:lang w:val="en-AU"/>
        </w:rPr>
        <w:t>Catchment modelling was completed using the e</w:t>
      </w:r>
      <w:r w:rsidRPr="00797170">
        <w:rPr>
          <w:lang w:val="en-AU"/>
        </w:rPr>
        <w:t>xisting</w:t>
      </w:r>
      <w:r w:rsidR="00AB3B3B">
        <w:rPr>
          <w:lang w:val="en-AU"/>
        </w:rPr>
        <w:t xml:space="preserve"> W</w:t>
      </w:r>
      <w:r w:rsidR="00AB3B3B" w:rsidRPr="00797170">
        <w:rPr>
          <w:lang w:val="en-AU"/>
        </w:rPr>
        <w:t>estern Port dSedNet Source model</w:t>
      </w:r>
      <w:r w:rsidR="00AB3B3B">
        <w:rPr>
          <w:lang w:val="en-AU"/>
        </w:rPr>
        <w:t>, which covers the whole Cardinia Creek catchment.</w:t>
      </w:r>
      <w:r w:rsidRPr="00797170">
        <w:rPr>
          <w:lang w:val="en-AU"/>
        </w:rPr>
        <w:t xml:space="preserve"> </w:t>
      </w:r>
      <w:r w:rsidR="00AB3B3B">
        <w:t xml:space="preserve">Daily flow outputs from the Source model were available </w:t>
      </w:r>
      <w:r w:rsidR="00610669">
        <w:t>for a</w:t>
      </w:r>
      <w:r w:rsidR="00AB3B3B">
        <w:t xml:space="preserve"> </w:t>
      </w:r>
      <w:r w:rsidR="00610669">
        <w:t xml:space="preserve">range of locations </w:t>
      </w:r>
      <w:r w:rsidR="00610669">
        <w:rPr>
          <w:lang w:val="en-AU"/>
        </w:rPr>
        <w:t>(</w:t>
      </w:r>
      <w:r w:rsidR="00610669">
        <w:rPr>
          <w:lang w:val="en-AU"/>
        </w:rPr>
        <w:fldChar w:fldCharType="begin"/>
      </w:r>
      <w:r w:rsidR="00610669">
        <w:rPr>
          <w:lang w:val="en-AU"/>
        </w:rPr>
        <w:instrText xml:space="preserve"> REF _Ref42767809 \h </w:instrText>
      </w:r>
      <w:r w:rsidR="00610669">
        <w:rPr>
          <w:lang w:val="en-AU"/>
        </w:rPr>
      </w:r>
      <w:r w:rsidR="00610669">
        <w:rPr>
          <w:lang w:val="en-AU"/>
        </w:rPr>
        <w:fldChar w:fldCharType="separate"/>
      </w:r>
      <w:r w:rsidR="00BE5F47">
        <w:t xml:space="preserve">Figure </w:t>
      </w:r>
      <w:r w:rsidR="00BE5F47">
        <w:rPr>
          <w:noProof/>
        </w:rPr>
        <w:t>4</w:t>
      </w:r>
      <w:r w:rsidR="00BE5F47">
        <w:noBreakHyphen/>
      </w:r>
      <w:r w:rsidR="00BE5F47">
        <w:rPr>
          <w:noProof/>
        </w:rPr>
        <w:t>1</w:t>
      </w:r>
      <w:r w:rsidR="00610669">
        <w:rPr>
          <w:lang w:val="en-AU"/>
        </w:rPr>
        <w:fldChar w:fldCharType="end"/>
      </w:r>
      <w:r w:rsidR="00610669">
        <w:rPr>
          <w:lang w:val="en-AU"/>
        </w:rPr>
        <w:t>):</w:t>
      </w:r>
    </w:p>
    <w:p w14:paraId="73259608" w14:textId="77777777" w:rsidR="00610669" w:rsidRDefault="00610669" w:rsidP="00610669">
      <w:pPr>
        <w:pStyle w:val="Para0bullet"/>
        <w:rPr>
          <w:lang w:val="en-AU"/>
        </w:rPr>
      </w:pPr>
      <w:r>
        <w:rPr>
          <w:lang w:val="en-AU"/>
        </w:rPr>
        <w:t>Gauge 228230 - Cardinia Creek upstream:  This gauge represents catchment inputs upstream of the focus PSPs.</w:t>
      </w:r>
    </w:p>
    <w:p w14:paraId="03F9B529" w14:textId="77777777" w:rsidR="00610669" w:rsidRDefault="00610669" w:rsidP="00610669">
      <w:pPr>
        <w:pStyle w:val="Para0bullet"/>
        <w:rPr>
          <w:lang w:val="en-AU"/>
        </w:rPr>
      </w:pPr>
      <w:r>
        <w:rPr>
          <w:lang w:val="en-AU"/>
        </w:rPr>
        <w:t>Gauge 228382 - Cardinia Drop Structure: This gauge represents current and full development impacts associated with inflows from the Minta Farm PSP.</w:t>
      </w:r>
    </w:p>
    <w:p w14:paraId="1DA789F0" w14:textId="22BB67FB" w:rsidR="00610669" w:rsidRDefault="00610669" w:rsidP="00610669">
      <w:pPr>
        <w:pStyle w:val="Para0bullet"/>
        <w:rPr>
          <w:lang w:val="en-AU"/>
        </w:rPr>
      </w:pPr>
      <w:r>
        <w:rPr>
          <w:lang w:val="en-AU"/>
        </w:rPr>
        <w:t>Gauge 228228 – McCormacks / Chasemore Road:  This gauge represents current and full development impacts associated with inflows from the Minta Farm, Officer South</w:t>
      </w:r>
      <w:r w:rsidR="00C67393">
        <w:rPr>
          <w:lang w:val="en-AU"/>
        </w:rPr>
        <w:t xml:space="preserve"> Employment</w:t>
      </w:r>
      <w:r>
        <w:rPr>
          <w:lang w:val="en-AU"/>
        </w:rPr>
        <w:t xml:space="preserve"> and Cardinia South PSPs (or combinations thereof).</w:t>
      </w:r>
    </w:p>
    <w:p w14:paraId="3F637DD3" w14:textId="77777777" w:rsidR="00610669" w:rsidRDefault="00610669" w:rsidP="00610669">
      <w:pPr>
        <w:pStyle w:val="Para0bullet"/>
        <w:rPr>
          <w:lang w:val="en-AU"/>
        </w:rPr>
      </w:pPr>
      <w:r>
        <w:rPr>
          <w:lang w:val="en-AU"/>
        </w:rPr>
        <w:t>Cardinia catchment outlet: This node represents cumulative outflow to Westernport Bay.</w:t>
      </w:r>
    </w:p>
    <w:p w14:paraId="2E498EF9" w14:textId="41E63141" w:rsidR="001765F1" w:rsidRPr="00984897" w:rsidRDefault="00610669" w:rsidP="001765F1">
      <w:pPr>
        <w:pStyle w:val="Para0"/>
      </w:pPr>
      <w:r>
        <w:t>For each of these locations daily flows for natural, current and full develop scenarios were determined</w:t>
      </w:r>
      <w:r w:rsidR="001765F1">
        <w:t xml:space="preserve"> </w:t>
      </w:r>
      <w:r w:rsidR="00794845">
        <w:t xml:space="preserve">under a range of climate conditions including wet, average and dry conditions. </w:t>
      </w:r>
      <w:r>
        <w:t>(</w:t>
      </w:r>
      <w:r w:rsidR="00794845">
        <w:fldChar w:fldCharType="begin"/>
      </w:r>
      <w:r w:rsidR="00794845">
        <w:instrText xml:space="preserve"> REF _Ref65079576 \h </w:instrText>
      </w:r>
      <w:r w:rsidR="00794845">
        <w:fldChar w:fldCharType="separate"/>
      </w:r>
      <w:r w:rsidR="00BE5F47">
        <w:t xml:space="preserve">Table </w:t>
      </w:r>
      <w:r w:rsidR="00BE5F47">
        <w:rPr>
          <w:noProof/>
        </w:rPr>
        <w:t>4</w:t>
      </w:r>
      <w:r w:rsidR="00BE5F47">
        <w:noBreakHyphen/>
      </w:r>
      <w:r w:rsidR="00BE5F47">
        <w:rPr>
          <w:noProof/>
        </w:rPr>
        <w:t>1</w:t>
      </w:r>
      <w:r w:rsidR="00794845">
        <w:fldChar w:fldCharType="end"/>
      </w:r>
      <w:r>
        <w:t>)</w:t>
      </w:r>
      <w:r w:rsidR="001765F1" w:rsidRPr="00984897">
        <w:t>.</w:t>
      </w:r>
      <w:r w:rsidR="001765F1">
        <w:t xml:space="preserve"> </w:t>
      </w:r>
    </w:p>
    <w:p w14:paraId="1CCAB236" w14:textId="6CD2CA99" w:rsidR="00794845" w:rsidRDefault="00794845" w:rsidP="00F11047">
      <w:pPr>
        <w:pStyle w:val="Caption"/>
      </w:pPr>
      <w:bookmarkStart w:id="53" w:name="_Ref65079576"/>
      <w:r>
        <w:t xml:space="preserve">Table </w:t>
      </w:r>
      <w:r>
        <w:fldChar w:fldCharType="begin"/>
      </w:r>
      <w:r>
        <w:instrText xml:space="preserve"> STYLEREF 1 \s </w:instrText>
      </w:r>
      <w:r>
        <w:fldChar w:fldCharType="separate"/>
      </w:r>
      <w:r w:rsidR="00BE5F47">
        <w:rPr>
          <w:noProof/>
        </w:rPr>
        <w:t>4</w:t>
      </w:r>
      <w:r>
        <w:fldChar w:fldCharType="end"/>
      </w:r>
      <w:r>
        <w:noBreakHyphen/>
      </w:r>
      <w:r>
        <w:fldChar w:fldCharType="begin"/>
      </w:r>
      <w:r>
        <w:instrText xml:space="preserve"> SEQ Table \* ARABIC \s 1 </w:instrText>
      </w:r>
      <w:r>
        <w:fldChar w:fldCharType="separate"/>
      </w:r>
      <w:r w:rsidR="00BE5F47">
        <w:rPr>
          <w:noProof/>
        </w:rPr>
        <w:t>1</w:t>
      </w:r>
      <w:r>
        <w:fldChar w:fldCharType="end"/>
      </w:r>
      <w:bookmarkEnd w:id="53"/>
      <w:r>
        <w:t xml:space="preserve">: </w:t>
      </w:r>
      <w:r w:rsidRPr="00984897">
        <w:t>Hydrological modelling scenarios to establish changes in flow regime due to different levels of urban development</w:t>
      </w:r>
    </w:p>
    <w:tbl>
      <w:tblPr>
        <w:tblStyle w:val="TableGrid"/>
        <w:tblW w:w="5000" w:type="pct"/>
        <w:tblBorders>
          <w:top w:val="single" w:sz="2" w:space="0" w:color="C8C8C8" w:themeColor="accent6"/>
          <w:left w:val="single" w:sz="2" w:space="0" w:color="C8C8C8" w:themeColor="accent6"/>
          <w:bottom w:val="single" w:sz="2" w:space="0" w:color="C8C8C8" w:themeColor="accent6"/>
          <w:right w:val="single" w:sz="2" w:space="0" w:color="C8C8C8" w:themeColor="accent6"/>
          <w:insideH w:val="single" w:sz="2" w:space="0" w:color="C8C8C8" w:themeColor="accent6"/>
          <w:insideV w:val="single" w:sz="2" w:space="0" w:color="C8C8C8" w:themeColor="accent6"/>
        </w:tblBorders>
        <w:tblCellMar>
          <w:left w:w="85" w:type="dxa"/>
          <w:right w:w="85" w:type="dxa"/>
        </w:tblCellMar>
        <w:tblLook w:val="04A0" w:firstRow="1" w:lastRow="0" w:firstColumn="1" w:lastColumn="0" w:noHBand="0" w:noVBand="1"/>
      </w:tblPr>
      <w:tblGrid>
        <w:gridCol w:w="1558"/>
        <w:gridCol w:w="2125"/>
        <w:gridCol w:w="2410"/>
        <w:gridCol w:w="3817"/>
      </w:tblGrid>
      <w:tr w:rsidR="001765F1" w:rsidRPr="00984897" w14:paraId="169285A5" w14:textId="77777777" w:rsidTr="001765F1">
        <w:trPr>
          <w:tblHeader/>
        </w:trPr>
        <w:tc>
          <w:tcPr>
            <w:tcW w:w="786" w:type="pct"/>
            <w:shd w:val="clear" w:color="auto" w:fill="E5E5E5" w:themeFill="background2"/>
          </w:tcPr>
          <w:p w14:paraId="04A2C69D" w14:textId="77777777" w:rsidR="001765F1" w:rsidRPr="00984897" w:rsidRDefault="001765F1" w:rsidP="00D255EB">
            <w:pPr>
              <w:pStyle w:val="Tablesmallheading"/>
            </w:pPr>
            <w:r w:rsidRPr="00984897">
              <w:t>Scenario</w:t>
            </w:r>
          </w:p>
        </w:tc>
        <w:tc>
          <w:tcPr>
            <w:tcW w:w="1072" w:type="pct"/>
            <w:shd w:val="clear" w:color="auto" w:fill="E5E5E5" w:themeFill="background2"/>
          </w:tcPr>
          <w:p w14:paraId="73AA3732" w14:textId="77777777" w:rsidR="001765F1" w:rsidRPr="00984897" w:rsidRDefault="001765F1" w:rsidP="00D255EB">
            <w:pPr>
              <w:pStyle w:val="Tablesmallheading"/>
            </w:pPr>
            <w:r w:rsidRPr="00984897">
              <w:t>Description</w:t>
            </w:r>
          </w:p>
        </w:tc>
        <w:tc>
          <w:tcPr>
            <w:tcW w:w="1216" w:type="pct"/>
            <w:shd w:val="clear" w:color="auto" w:fill="E5E5E5" w:themeFill="background2"/>
          </w:tcPr>
          <w:p w14:paraId="641461E9" w14:textId="77777777" w:rsidR="001765F1" w:rsidRPr="00984897" w:rsidRDefault="001765F1" w:rsidP="00D255EB">
            <w:pPr>
              <w:pStyle w:val="Tablesmallheading"/>
            </w:pPr>
            <w:r w:rsidRPr="00984897">
              <w:t>Catchment model configuration</w:t>
            </w:r>
          </w:p>
        </w:tc>
        <w:tc>
          <w:tcPr>
            <w:tcW w:w="1926" w:type="pct"/>
            <w:shd w:val="clear" w:color="auto" w:fill="E5E5E5" w:themeFill="background2"/>
          </w:tcPr>
          <w:p w14:paraId="7CFD2572" w14:textId="77777777" w:rsidR="001765F1" w:rsidRPr="00984897" w:rsidRDefault="001765F1" w:rsidP="00D255EB">
            <w:pPr>
              <w:pStyle w:val="Tablesmallheading"/>
            </w:pPr>
            <w:r w:rsidRPr="00984897">
              <w:t>Assumptions</w:t>
            </w:r>
          </w:p>
        </w:tc>
      </w:tr>
      <w:tr w:rsidR="001765F1" w:rsidRPr="00984897" w14:paraId="1657517C" w14:textId="77777777" w:rsidTr="001765F1">
        <w:tc>
          <w:tcPr>
            <w:tcW w:w="786" w:type="pct"/>
          </w:tcPr>
          <w:p w14:paraId="0E1DCEE8" w14:textId="77777777" w:rsidR="001765F1" w:rsidRPr="00984897" w:rsidRDefault="001765F1" w:rsidP="00D255EB">
            <w:pPr>
              <w:pStyle w:val="Tablesmalltext"/>
            </w:pPr>
            <w:r w:rsidRPr="00984897">
              <w:t xml:space="preserve">Natural </w:t>
            </w:r>
          </w:p>
        </w:tc>
        <w:tc>
          <w:tcPr>
            <w:tcW w:w="1072" w:type="pct"/>
          </w:tcPr>
          <w:p w14:paraId="28974418" w14:textId="77777777" w:rsidR="001765F1" w:rsidRPr="00984897" w:rsidRDefault="001765F1" w:rsidP="00D255EB">
            <w:pPr>
              <w:pStyle w:val="Tablesmalltext"/>
            </w:pPr>
            <w:r w:rsidRPr="00984897">
              <w:t>Before European development</w:t>
            </w:r>
          </w:p>
        </w:tc>
        <w:tc>
          <w:tcPr>
            <w:tcW w:w="1216" w:type="pct"/>
          </w:tcPr>
          <w:p w14:paraId="4E1C0DD5" w14:textId="77777777" w:rsidR="001765F1" w:rsidRPr="00984897" w:rsidRDefault="001765F1" w:rsidP="00D255EB">
            <w:pPr>
              <w:pStyle w:val="Tablesmalltext"/>
            </w:pPr>
            <w:r w:rsidRPr="00984897">
              <w:t>All forest land use (impervious fraction = 0)</w:t>
            </w:r>
          </w:p>
          <w:p w14:paraId="254B784D" w14:textId="77777777" w:rsidR="001765F1" w:rsidRPr="00984897" w:rsidRDefault="001765F1" w:rsidP="00D255EB">
            <w:pPr>
              <w:pStyle w:val="Tablesmalltext"/>
            </w:pPr>
            <w:r w:rsidRPr="00984897">
              <w:t>No Cardinia storage releases</w:t>
            </w:r>
          </w:p>
        </w:tc>
        <w:tc>
          <w:tcPr>
            <w:tcW w:w="1926" w:type="pct"/>
          </w:tcPr>
          <w:p w14:paraId="5B52E63B" w14:textId="77777777" w:rsidR="001765F1" w:rsidRPr="00984897" w:rsidRDefault="001765F1" w:rsidP="00D255EB">
            <w:pPr>
              <w:pStyle w:val="Tablesmalltext"/>
            </w:pPr>
            <w:r w:rsidRPr="00984897">
              <w:t>Channelised subcatchments remain unaltered in the model as it was not practical to change model configuration. The Hydraulic modelling informs the impact of channel morphology on fish habitat.</w:t>
            </w:r>
          </w:p>
        </w:tc>
      </w:tr>
      <w:tr w:rsidR="001765F1" w:rsidRPr="00984897" w14:paraId="1F3E733A" w14:textId="77777777" w:rsidTr="001765F1">
        <w:tc>
          <w:tcPr>
            <w:tcW w:w="786" w:type="pct"/>
          </w:tcPr>
          <w:p w14:paraId="2EDDB2AD" w14:textId="77777777" w:rsidR="001765F1" w:rsidRPr="00984897" w:rsidRDefault="001765F1" w:rsidP="00D255EB">
            <w:pPr>
              <w:pStyle w:val="Tablesmalltext"/>
            </w:pPr>
            <w:r w:rsidRPr="00984897">
              <w:t>Pre-development (2010)</w:t>
            </w:r>
          </w:p>
        </w:tc>
        <w:tc>
          <w:tcPr>
            <w:tcW w:w="1072" w:type="pct"/>
          </w:tcPr>
          <w:p w14:paraId="0A1C6C45" w14:textId="77777777" w:rsidR="001765F1" w:rsidRPr="00984897" w:rsidRDefault="001765F1" w:rsidP="00D255EB">
            <w:pPr>
              <w:pStyle w:val="Tablesmalltext"/>
            </w:pPr>
            <w:r w:rsidRPr="00984897">
              <w:t>Pre-development prior to expansion of the urban growth boundary (pre 2010)</w:t>
            </w:r>
          </w:p>
        </w:tc>
        <w:tc>
          <w:tcPr>
            <w:tcW w:w="1216" w:type="pct"/>
          </w:tcPr>
          <w:p w14:paraId="7F72493C" w14:textId="77777777" w:rsidR="001765F1" w:rsidRPr="00984897" w:rsidRDefault="001765F1" w:rsidP="00D255EB">
            <w:pPr>
              <w:pStyle w:val="Tablesmalltext"/>
            </w:pPr>
            <w:r w:rsidRPr="00984897">
              <w:t>Reduce all urban areas in PSP subcatchments by 90% to reflect 2010 land use</w:t>
            </w:r>
          </w:p>
        </w:tc>
        <w:tc>
          <w:tcPr>
            <w:tcW w:w="1926" w:type="pct"/>
          </w:tcPr>
          <w:p w14:paraId="5E708F83" w14:textId="77777777" w:rsidR="001765F1" w:rsidRPr="00984897" w:rsidRDefault="001765F1" w:rsidP="00D255EB">
            <w:pPr>
              <w:pStyle w:val="Tablesmalltext"/>
            </w:pPr>
            <w:r w:rsidRPr="00984897">
              <w:t xml:space="preserve">Changes applied predominantly to residential land use types </w:t>
            </w:r>
          </w:p>
        </w:tc>
      </w:tr>
      <w:tr w:rsidR="001765F1" w:rsidRPr="00984897" w14:paraId="3995B2DA" w14:textId="77777777" w:rsidTr="001765F1">
        <w:tc>
          <w:tcPr>
            <w:tcW w:w="786" w:type="pct"/>
          </w:tcPr>
          <w:p w14:paraId="39D73B5B" w14:textId="77777777" w:rsidR="001765F1" w:rsidRPr="00984897" w:rsidRDefault="001765F1" w:rsidP="00D255EB">
            <w:pPr>
              <w:pStyle w:val="Tablesmalltext"/>
            </w:pPr>
            <w:r w:rsidRPr="00984897">
              <w:t>Current (2019)</w:t>
            </w:r>
          </w:p>
        </w:tc>
        <w:tc>
          <w:tcPr>
            <w:tcW w:w="1072" w:type="pct"/>
          </w:tcPr>
          <w:p w14:paraId="110CF03F" w14:textId="77777777" w:rsidR="001765F1" w:rsidRPr="00984897" w:rsidRDefault="001765F1" w:rsidP="00D255EB">
            <w:pPr>
              <w:pStyle w:val="Tablesmalltext"/>
            </w:pPr>
            <w:r w:rsidRPr="00984897">
              <w:t>Current level of development (2019)</w:t>
            </w:r>
          </w:p>
        </w:tc>
        <w:tc>
          <w:tcPr>
            <w:tcW w:w="1216" w:type="pct"/>
          </w:tcPr>
          <w:p w14:paraId="386960BA" w14:textId="77777777" w:rsidR="001765F1" w:rsidRPr="00984897" w:rsidRDefault="001765F1" w:rsidP="00D255EB">
            <w:pPr>
              <w:pStyle w:val="Tablesmalltext"/>
            </w:pPr>
            <w:r w:rsidRPr="00984897">
              <w:t xml:space="preserve">No change to model </w:t>
            </w:r>
          </w:p>
        </w:tc>
        <w:tc>
          <w:tcPr>
            <w:tcW w:w="1926" w:type="pct"/>
          </w:tcPr>
          <w:p w14:paraId="3DB0901E" w14:textId="77777777" w:rsidR="001765F1" w:rsidRPr="00984897" w:rsidRDefault="001765F1" w:rsidP="00D255EB">
            <w:pPr>
              <w:pStyle w:val="Tablesmalltext"/>
            </w:pPr>
            <w:r w:rsidRPr="00984897">
              <w:t>Model land use is based on 2016/2017 data, but level of urban development up to 2019 has been minimal in the relevant subcatchments (based on Google Earth imagery)</w:t>
            </w:r>
          </w:p>
        </w:tc>
      </w:tr>
      <w:tr w:rsidR="001765F1" w:rsidRPr="00984897" w14:paraId="70374058" w14:textId="77777777" w:rsidTr="001765F1">
        <w:tc>
          <w:tcPr>
            <w:tcW w:w="786" w:type="pct"/>
          </w:tcPr>
          <w:p w14:paraId="3EFB3AE0" w14:textId="77777777" w:rsidR="001765F1" w:rsidRPr="00984897" w:rsidRDefault="001765F1" w:rsidP="00D255EB">
            <w:pPr>
              <w:pStyle w:val="Tablesmalltext"/>
            </w:pPr>
            <w:r w:rsidRPr="00984897">
              <w:t>Full development</w:t>
            </w:r>
          </w:p>
        </w:tc>
        <w:tc>
          <w:tcPr>
            <w:tcW w:w="1072" w:type="pct"/>
          </w:tcPr>
          <w:p w14:paraId="470E6982" w14:textId="77777777" w:rsidR="001765F1" w:rsidRPr="00984897" w:rsidRDefault="001765F1" w:rsidP="00D255EB">
            <w:pPr>
              <w:pStyle w:val="Tablesmalltext"/>
            </w:pPr>
            <w:r w:rsidRPr="00984897">
              <w:t xml:space="preserve">Post- PSP development, including WSUD </w:t>
            </w:r>
          </w:p>
        </w:tc>
        <w:tc>
          <w:tcPr>
            <w:tcW w:w="1216" w:type="pct"/>
          </w:tcPr>
          <w:p w14:paraId="0EF27AAB" w14:textId="77777777" w:rsidR="001765F1" w:rsidRPr="00984897" w:rsidRDefault="001765F1" w:rsidP="00D255EB">
            <w:pPr>
              <w:pStyle w:val="Tablesmalltext"/>
            </w:pPr>
            <w:r w:rsidRPr="00984897">
              <w:t>Flow inputs from PSP MUSIC models as additional stormwater contribution</w:t>
            </w:r>
          </w:p>
        </w:tc>
        <w:tc>
          <w:tcPr>
            <w:tcW w:w="1926" w:type="pct"/>
          </w:tcPr>
          <w:p w14:paraId="0758AED1" w14:textId="77777777" w:rsidR="001765F1" w:rsidRPr="00984897" w:rsidRDefault="001765F1" w:rsidP="00D255EB">
            <w:pPr>
              <w:pStyle w:val="Tablesmalltext"/>
            </w:pPr>
            <w:r w:rsidRPr="00984897">
              <w:t xml:space="preserve">MUSIC models reflect the current PSP drainage designs </w:t>
            </w:r>
          </w:p>
        </w:tc>
      </w:tr>
    </w:tbl>
    <w:p w14:paraId="3E36A441" w14:textId="163B5DB2" w:rsidR="00C26DA1" w:rsidRDefault="00C26DA1" w:rsidP="00D255EB">
      <w:pPr>
        <w:pStyle w:val="Para0"/>
        <w:rPr>
          <w:lang w:val="en-AU"/>
        </w:rPr>
      </w:pPr>
      <w:r>
        <w:rPr>
          <w:noProof/>
        </w:rPr>
        <w:lastRenderedPageBreak/>
        <w:drawing>
          <wp:inline distT="0" distB="0" distL="0" distR="0" wp14:anchorId="7E863221" wp14:editId="609179CE">
            <wp:extent cx="5547946" cy="49380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91271" cy="4976622"/>
                    </a:xfrm>
                    <a:prstGeom prst="rect">
                      <a:avLst/>
                    </a:prstGeom>
                    <a:noFill/>
                  </pic:spPr>
                </pic:pic>
              </a:graphicData>
            </a:graphic>
          </wp:inline>
        </w:drawing>
      </w:r>
    </w:p>
    <w:p w14:paraId="239C682A" w14:textId="0F555A64" w:rsidR="00C26DA1" w:rsidRDefault="00252BBF" w:rsidP="00C26DA1">
      <w:pPr>
        <w:pStyle w:val="Caption"/>
      </w:pPr>
      <w:bookmarkStart w:id="54" w:name="_Ref65080165"/>
      <w:bookmarkStart w:id="55" w:name="_Ref42767809"/>
      <w:r>
        <w:t>Figure</w:t>
      </w:r>
      <w:r w:rsidR="00C26DA1">
        <w:t xml:space="preserve"> </w:t>
      </w:r>
      <w:r w:rsidR="00E67EC2">
        <w:fldChar w:fldCharType="begin"/>
      </w:r>
      <w:r w:rsidR="00E67EC2">
        <w:instrText xml:space="preserve"> STYLEREF 1 \s </w:instrText>
      </w:r>
      <w:r w:rsidR="00E67EC2">
        <w:fldChar w:fldCharType="separate"/>
      </w:r>
      <w:r w:rsidR="00BE5F47">
        <w:rPr>
          <w:noProof/>
        </w:rPr>
        <w:t>4</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1</w:t>
      </w:r>
      <w:r w:rsidR="00E67EC2">
        <w:fldChar w:fldCharType="end"/>
      </w:r>
      <w:bookmarkEnd w:id="54"/>
      <w:bookmarkEnd w:id="55"/>
      <w:r w:rsidR="00C26DA1" w:rsidRPr="00C26DA1">
        <w:t xml:space="preserve"> </w:t>
      </w:r>
      <w:r w:rsidR="00C26DA1">
        <w:t>Source catchment model layout, indicating PSP inflow node locations and model link and node reporting points.</w:t>
      </w:r>
    </w:p>
    <w:p w14:paraId="24B9698E" w14:textId="3263F14E" w:rsidR="001765F1" w:rsidRDefault="001765F1" w:rsidP="00C26DA1">
      <w:pPr>
        <w:pStyle w:val="Heading3"/>
        <w:rPr>
          <w:lang w:val="en-AU"/>
        </w:rPr>
      </w:pPr>
      <w:bookmarkStart w:id="56" w:name="_Toc69480706"/>
      <w:r>
        <w:rPr>
          <w:lang w:val="en-AU"/>
        </w:rPr>
        <w:t>Hydraulic modelling</w:t>
      </w:r>
      <w:bookmarkEnd w:id="56"/>
    </w:p>
    <w:p w14:paraId="3BC85635" w14:textId="77883D01" w:rsidR="00C26DA1" w:rsidRDefault="00C26DA1" w:rsidP="00C26DA1">
      <w:pPr>
        <w:pStyle w:val="Para0"/>
        <w:rPr>
          <w:lang w:val="en-AU"/>
        </w:rPr>
      </w:pPr>
      <w:r>
        <w:rPr>
          <w:lang w:val="en-AU"/>
        </w:rPr>
        <w:t xml:space="preserve">Hydraulic modelling, using 1-Dimensional HEC-RAS models, </w:t>
      </w:r>
      <w:r w:rsidR="00610669">
        <w:rPr>
          <w:lang w:val="en-AU"/>
        </w:rPr>
        <w:t>was used to establish</w:t>
      </w:r>
      <w:r>
        <w:rPr>
          <w:lang w:val="en-AU"/>
        </w:rPr>
        <w:t xml:space="preserve"> thresholds for critical flow </w:t>
      </w:r>
      <w:r w:rsidR="00610669">
        <w:rPr>
          <w:lang w:val="en-AU"/>
        </w:rPr>
        <w:t>magnitudes</w:t>
      </w:r>
      <w:r>
        <w:rPr>
          <w:lang w:val="en-AU"/>
        </w:rPr>
        <w:t xml:space="preserve"> related to inundation of Dwarf Galaxias habitat, shear stresses for initiating excessive channel erosion and depth of shallow areas for maintenance of fish passage.</w:t>
      </w:r>
    </w:p>
    <w:p w14:paraId="33AF0B53" w14:textId="7043B477" w:rsidR="00C26DA1" w:rsidRDefault="00C26DA1" w:rsidP="00C26DA1">
      <w:pPr>
        <w:pStyle w:val="Para0"/>
      </w:pPr>
      <w:bookmarkStart w:id="57" w:name="_Hlk32849911"/>
      <w:r>
        <w:rPr>
          <w:lang w:val="en-AU"/>
        </w:rPr>
        <w:t>Two 1-Dimensional HEC-RAS models of the Cardinia Creek system were provided by Melbourne Water as part of this assessment</w:t>
      </w:r>
      <w:r w:rsidR="00610669">
        <w:rPr>
          <w:lang w:val="en-AU"/>
        </w:rPr>
        <w:t>:</w:t>
      </w:r>
      <w:r>
        <w:rPr>
          <w:lang w:val="en-AU"/>
        </w:rPr>
        <w:t xml:space="preserve"> </w:t>
      </w:r>
      <w:bookmarkEnd w:id="57"/>
      <w:r w:rsidR="00610669">
        <w:rPr>
          <w:lang w:val="en-AU"/>
        </w:rPr>
        <w:t>The first m</w:t>
      </w:r>
      <w:r>
        <w:rPr>
          <w:lang w:val="en-AU"/>
        </w:rPr>
        <w:t xml:space="preserve">odel (SNPSP_HEC-RAS_001) covers the region from Minta Farm to Patterson Road.  </w:t>
      </w:r>
      <w:r>
        <w:t>The second model (CardiniaCreek) represents the channelised section of Cardinia Creek between an area approximately 400 m north of Patterson Road to the outlet at Western</w:t>
      </w:r>
      <w:r w:rsidR="00610669">
        <w:t>port Bay.</w:t>
      </w:r>
    </w:p>
    <w:p w14:paraId="170BF113" w14:textId="3905471F" w:rsidR="001765F1" w:rsidRPr="008F49DC" w:rsidRDefault="001765F1" w:rsidP="001765F1">
      <w:pPr>
        <w:pStyle w:val="Para0"/>
        <w:rPr>
          <w:lang w:val="en-AU"/>
        </w:rPr>
      </w:pPr>
      <w:r w:rsidRPr="008F49DC">
        <w:t>Models were interrogated to identify flow volumes that commence inundation of backwaters and anabranches identified as known or potential habitat for dwarf galaxias, and to extract flows that correlated to critical erosion thresholds at cross-section identified as at risk from excessive erosion.</w:t>
      </w:r>
      <w:r w:rsidR="00610669">
        <w:t xml:space="preserve"> Details are provide in </w:t>
      </w:r>
      <w:r w:rsidR="00610669">
        <w:fldChar w:fldCharType="begin"/>
      </w:r>
      <w:r w:rsidR="00610669">
        <w:instrText xml:space="preserve"> ADDIN EN.CITE &lt;EndNote&gt;&lt;Cite&gt;&lt;Author&gt;Jacobs&lt;/Author&gt;&lt;Year&gt;2019&lt;/Year&gt;&lt;RecNum&gt;3708&lt;/RecNum&gt;&lt;DisplayText&gt;(Jacobs, 2019)&lt;/DisplayText&gt;&lt;record&gt;&lt;rec-number&gt;3708&lt;/rec-number&gt;&lt;foreign-keys&gt;&lt;key app="EN" db-id="d0s2errflvze20evzxyvr9xzwfwste2v9tf2" timestamp="1581916722"&gt;3708&lt;/key&gt;&lt;/foreign-keys&gt;&lt;ref-type name="Report"&gt;27&lt;/ref-type&gt;&lt;contributors&gt;&lt;authors&gt;&lt;author&gt;Jacobs&lt;/author&gt;&lt;/authors&gt;&lt;tertiary-authors&gt;&lt;author&gt;Report by Jacobs for Melbourne Water&lt;/author&gt;&lt;/tertiary-authors&gt;&lt;/contributors&gt;&lt;titles&gt;&lt;title&gt;Cardinia Creek Conservation Area Hydrology and Fish Investigation: Methods statement&lt;/title&gt;&lt;/titles&gt;&lt;dates&gt;&lt;year&gt;2019&lt;/year&gt;&lt;/dates&gt;&lt;urls&gt;&lt;/urls&gt;&lt;/record&gt;&lt;/Cite&gt;&lt;/EndNote&gt;</w:instrText>
      </w:r>
      <w:r w:rsidR="00610669">
        <w:fldChar w:fldCharType="separate"/>
      </w:r>
      <w:r w:rsidR="00610669">
        <w:rPr>
          <w:noProof/>
        </w:rPr>
        <w:t>(Jacobs, 2019)</w:t>
      </w:r>
      <w:r w:rsidR="00610669">
        <w:fldChar w:fldCharType="end"/>
      </w:r>
      <w:r w:rsidR="00610669">
        <w:t>.</w:t>
      </w:r>
    </w:p>
    <w:p w14:paraId="41AD7F0A" w14:textId="605C15CF" w:rsidR="00C25CAF" w:rsidRDefault="00C25CAF" w:rsidP="00C25CAF">
      <w:pPr>
        <w:pStyle w:val="Heading2"/>
      </w:pPr>
      <w:bookmarkStart w:id="58" w:name="_Ref42763687"/>
      <w:bookmarkStart w:id="59" w:name="_Toc69480707"/>
      <w:r>
        <w:t>Risk assessment criteria</w:t>
      </w:r>
      <w:bookmarkEnd w:id="58"/>
      <w:bookmarkEnd w:id="59"/>
    </w:p>
    <w:p w14:paraId="0C62BD4B" w14:textId="135ACE1C" w:rsidR="006800F0" w:rsidRDefault="00D76DD8" w:rsidP="006800F0">
      <w:pPr>
        <w:pStyle w:val="Para0"/>
      </w:pPr>
      <w:r>
        <w:t>L</w:t>
      </w:r>
      <w:r w:rsidR="006800F0">
        <w:t>iterature review</w:t>
      </w:r>
      <w:r>
        <w:t xml:space="preserve"> and outputs from modelling were </w:t>
      </w:r>
      <w:r w:rsidR="006800F0">
        <w:t xml:space="preserve">used to determine the relationship between Cardinia Creek streamflow and critical </w:t>
      </w:r>
      <w:r w:rsidR="00A30914">
        <w:t>life history</w:t>
      </w:r>
      <w:r w:rsidR="006800F0">
        <w:t xml:space="preserve"> </w:t>
      </w:r>
      <w:r w:rsidR="00A30914">
        <w:t>requirements for</w:t>
      </w:r>
      <w:r>
        <w:t xml:space="preserve"> dwarf galaxias (</w:t>
      </w:r>
      <w:r>
        <w:fldChar w:fldCharType="begin"/>
      </w:r>
      <w:r>
        <w:instrText xml:space="preserve"> REF _Ref42769110 \h </w:instrText>
      </w:r>
      <w:r>
        <w:fldChar w:fldCharType="separate"/>
      </w:r>
      <w:r w:rsidR="00BE5F47">
        <w:t xml:space="preserve">Table </w:t>
      </w:r>
      <w:r w:rsidR="00BE5F47">
        <w:rPr>
          <w:noProof/>
        </w:rPr>
        <w:t>4</w:t>
      </w:r>
      <w:r w:rsidR="00BE5F47">
        <w:noBreakHyphen/>
      </w:r>
      <w:r w:rsidR="00BE5F47">
        <w:rPr>
          <w:noProof/>
        </w:rPr>
        <w:t>2</w:t>
      </w:r>
      <w:r>
        <w:fldChar w:fldCharType="end"/>
      </w:r>
      <w:r>
        <w:t>) and Australian grayling (</w:t>
      </w:r>
      <w:r>
        <w:fldChar w:fldCharType="begin"/>
      </w:r>
      <w:r>
        <w:instrText xml:space="preserve"> REF _Ref42612674 \h </w:instrText>
      </w:r>
      <w:r>
        <w:fldChar w:fldCharType="separate"/>
      </w:r>
      <w:r w:rsidR="00BE5F47">
        <w:t xml:space="preserve">Table </w:t>
      </w:r>
      <w:r w:rsidR="00BE5F47">
        <w:rPr>
          <w:noProof/>
        </w:rPr>
        <w:t>4</w:t>
      </w:r>
      <w:r w:rsidR="00BE5F47">
        <w:noBreakHyphen/>
      </w:r>
      <w:r w:rsidR="00BE5F47">
        <w:rPr>
          <w:noProof/>
        </w:rPr>
        <w:t>3</w:t>
      </w:r>
      <w:r>
        <w:fldChar w:fldCharType="end"/>
      </w:r>
      <w:r>
        <w:t xml:space="preserve">).  </w:t>
      </w:r>
    </w:p>
    <w:p w14:paraId="52EEC882" w14:textId="1587CC9F" w:rsidR="00D76DD8" w:rsidRDefault="00425457" w:rsidP="00D76DD8">
      <w:pPr>
        <w:pStyle w:val="Para0"/>
      </w:pPr>
      <w:bookmarkStart w:id="60" w:name="_Ref42769110"/>
      <w:bookmarkStart w:id="61" w:name="_Ref42769095"/>
      <w:r>
        <w:lastRenderedPageBreak/>
        <w:t>Table</w:t>
      </w:r>
      <w:r w:rsidR="00D76DD8">
        <w:t xml:space="preserve"> </w:t>
      </w:r>
      <w:r w:rsidR="00E67EC2">
        <w:fldChar w:fldCharType="begin"/>
      </w:r>
      <w:r w:rsidR="00E67EC2">
        <w:instrText xml:space="preserve"> STYLEREF 1 \s </w:instrText>
      </w:r>
      <w:r w:rsidR="00E67EC2">
        <w:fldChar w:fldCharType="separate"/>
      </w:r>
      <w:r w:rsidR="00BE5F47">
        <w:rPr>
          <w:noProof/>
        </w:rPr>
        <w:t>4</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2</w:t>
      </w:r>
      <w:r w:rsidR="00E67EC2">
        <w:fldChar w:fldCharType="end"/>
      </w:r>
      <w:bookmarkEnd w:id="60"/>
      <w:r w:rsidR="00D76DD8">
        <w:t xml:space="preserve"> </w:t>
      </w:r>
      <w:r w:rsidR="00D76DD8" w:rsidRPr="0021215E">
        <w:t xml:space="preserve">Flow components for </w:t>
      </w:r>
      <w:r w:rsidR="00682B89">
        <w:t xml:space="preserve">dwarf galaxias </w:t>
      </w:r>
      <w:r w:rsidR="00D76DD8" w:rsidRPr="0021215E">
        <w:t>life histor</w:t>
      </w:r>
      <w:bookmarkEnd w:id="61"/>
      <w:r w:rsidR="00682B89">
        <w:t>y and habitat requirements</w:t>
      </w:r>
    </w:p>
    <w:tbl>
      <w:tblPr>
        <w:tblStyle w:val="TableGrid10"/>
        <w:tblW w:w="10201" w:type="dxa"/>
        <w:tblLook w:val="04A0" w:firstRow="1" w:lastRow="0" w:firstColumn="1" w:lastColumn="0" w:noHBand="0" w:noVBand="1"/>
      </w:tblPr>
      <w:tblGrid>
        <w:gridCol w:w="1129"/>
        <w:gridCol w:w="2694"/>
        <w:gridCol w:w="4252"/>
        <w:gridCol w:w="2126"/>
      </w:tblGrid>
      <w:tr w:rsidR="00297374" w:rsidRPr="00682B89" w14:paraId="5B9D1DBD" w14:textId="77777777" w:rsidTr="00A30914">
        <w:tc>
          <w:tcPr>
            <w:tcW w:w="1129" w:type="dxa"/>
            <w:vAlign w:val="bottom"/>
          </w:tcPr>
          <w:p w14:paraId="1FF8D722" w14:textId="77777777" w:rsidR="00297374" w:rsidRPr="009D1BF3" w:rsidRDefault="00297374" w:rsidP="009D1BF3">
            <w:pPr>
              <w:pStyle w:val="Tablesmalltext"/>
              <w:rPr>
                <w:b/>
              </w:rPr>
            </w:pPr>
            <w:r w:rsidRPr="009D1BF3">
              <w:rPr>
                <w:b/>
              </w:rPr>
              <w:t>Season</w:t>
            </w:r>
          </w:p>
        </w:tc>
        <w:tc>
          <w:tcPr>
            <w:tcW w:w="2694" w:type="dxa"/>
            <w:vAlign w:val="bottom"/>
          </w:tcPr>
          <w:p w14:paraId="2861F6CA" w14:textId="77777777" w:rsidR="00297374" w:rsidRPr="00682B89" w:rsidRDefault="00297374" w:rsidP="009D1BF3">
            <w:pPr>
              <w:pStyle w:val="Tablesmalltext"/>
              <w:rPr>
                <w:b/>
              </w:rPr>
            </w:pPr>
            <w:r w:rsidRPr="00682B89">
              <w:rPr>
                <w:b/>
              </w:rPr>
              <w:t>Flow component</w:t>
            </w:r>
          </w:p>
        </w:tc>
        <w:tc>
          <w:tcPr>
            <w:tcW w:w="4252" w:type="dxa"/>
            <w:vAlign w:val="bottom"/>
          </w:tcPr>
          <w:p w14:paraId="51456924" w14:textId="73F52A96" w:rsidR="00297374" w:rsidRPr="00682B89" w:rsidRDefault="00297374" w:rsidP="009D1BF3">
            <w:pPr>
              <w:pStyle w:val="Tablesmalltext"/>
              <w:rPr>
                <w:b/>
              </w:rPr>
            </w:pPr>
            <w:r w:rsidRPr="00682B89">
              <w:rPr>
                <w:b/>
              </w:rPr>
              <w:t>Rationale</w:t>
            </w:r>
          </w:p>
        </w:tc>
        <w:tc>
          <w:tcPr>
            <w:tcW w:w="2126" w:type="dxa"/>
          </w:tcPr>
          <w:p w14:paraId="6EDF6809" w14:textId="7B6D9D7B" w:rsidR="00297374" w:rsidRPr="00682B89" w:rsidRDefault="00682B89" w:rsidP="00682B89">
            <w:pPr>
              <w:pStyle w:val="Tablesmalltext"/>
              <w:rPr>
                <w:b/>
              </w:rPr>
            </w:pPr>
            <w:r>
              <w:rPr>
                <w:b/>
              </w:rPr>
              <w:t>T</w:t>
            </w:r>
            <w:r w:rsidR="00297374" w:rsidRPr="00682B89">
              <w:rPr>
                <w:b/>
              </w:rPr>
              <w:t>hreshold</w:t>
            </w:r>
            <w:r>
              <w:rPr>
                <w:b/>
              </w:rPr>
              <w:t xml:space="preserve"> (at Minta Farm and Cardinia Drop Structure)</w:t>
            </w:r>
          </w:p>
        </w:tc>
      </w:tr>
      <w:tr w:rsidR="00297374" w:rsidRPr="00794C71" w14:paraId="6CB1CEAD" w14:textId="77777777" w:rsidTr="00A30914">
        <w:tc>
          <w:tcPr>
            <w:tcW w:w="1129" w:type="dxa"/>
          </w:tcPr>
          <w:p w14:paraId="358AB99F" w14:textId="703F5E0E" w:rsidR="00297374" w:rsidRPr="009D1BF3" w:rsidRDefault="00297374" w:rsidP="00682B89">
            <w:pPr>
              <w:pStyle w:val="Tablesmalltext"/>
              <w:rPr>
                <w:b/>
              </w:rPr>
            </w:pPr>
            <w:r w:rsidRPr="009D1BF3">
              <w:rPr>
                <w:b/>
              </w:rPr>
              <w:t>Summer and winter low flows</w:t>
            </w:r>
          </w:p>
        </w:tc>
        <w:tc>
          <w:tcPr>
            <w:tcW w:w="2694" w:type="dxa"/>
          </w:tcPr>
          <w:p w14:paraId="25FFDA10" w14:textId="00A26B29" w:rsidR="00297374" w:rsidRPr="00794C71" w:rsidRDefault="00682B89" w:rsidP="00682B89">
            <w:pPr>
              <w:pStyle w:val="Tablesmalltext"/>
            </w:pPr>
            <w:r>
              <w:t xml:space="preserve">Magnitude </w:t>
            </w:r>
            <w:r w:rsidR="00297374">
              <w:t>(percentage of time above specific magnitudes).</w:t>
            </w:r>
          </w:p>
        </w:tc>
        <w:tc>
          <w:tcPr>
            <w:tcW w:w="4252" w:type="dxa"/>
          </w:tcPr>
          <w:p w14:paraId="635D4E5C" w14:textId="43E17670" w:rsidR="00297374" w:rsidRPr="00794C71" w:rsidRDefault="00297374" w:rsidP="00682B89">
            <w:pPr>
              <w:pStyle w:val="Tablesmalltext"/>
            </w:pPr>
            <w:r w:rsidRPr="00794C71">
              <w:t>Low flows that disconnect floodplain wetland habitats and anabranch systems so that seasonal drying occurs, but sufficient to maintain moisture in the sub soils and in crayfish burrows</w:t>
            </w:r>
            <w:r>
              <w:t xml:space="preserve"> (percentage of time below specific magnitudes). Minimum flows as per Australian grayling (see </w:t>
            </w:r>
            <w:r>
              <w:fldChar w:fldCharType="begin"/>
            </w:r>
            <w:r>
              <w:instrText xml:space="preserve"> REF _Ref42612674 \h </w:instrText>
            </w:r>
            <w:r w:rsidR="00682B89">
              <w:instrText xml:space="preserve"> \* MERGEFORMAT </w:instrText>
            </w:r>
            <w:r>
              <w:fldChar w:fldCharType="separate"/>
            </w:r>
            <w:r w:rsidR="00BE5F47">
              <w:t xml:space="preserve">Table </w:t>
            </w:r>
            <w:r w:rsidR="00BE5F47">
              <w:rPr>
                <w:noProof/>
              </w:rPr>
              <w:t>4</w:t>
            </w:r>
            <w:r w:rsidR="00BE5F47">
              <w:rPr>
                <w:noProof/>
              </w:rPr>
              <w:noBreakHyphen/>
              <w:t>3</w:t>
            </w:r>
            <w:r>
              <w:fldChar w:fldCharType="end"/>
            </w:r>
            <w:r>
              <w:t>). Maximum flow 100 ML/d to prevent excessive inundation of potential habitats.</w:t>
            </w:r>
          </w:p>
        </w:tc>
        <w:tc>
          <w:tcPr>
            <w:tcW w:w="2126" w:type="dxa"/>
          </w:tcPr>
          <w:p w14:paraId="3B2E9CAD" w14:textId="77777777" w:rsidR="00297374" w:rsidRDefault="00297374" w:rsidP="00682B89">
            <w:pPr>
              <w:pStyle w:val="Tablesmalltext"/>
              <w:rPr>
                <w:b/>
              </w:rPr>
            </w:pPr>
            <w:r w:rsidRPr="008E2265">
              <w:rPr>
                <w:b/>
              </w:rPr>
              <w:t>10 ML/d</w:t>
            </w:r>
            <w:r>
              <w:rPr>
                <w:b/>
              </w:rPr>
              <w:t xml:space="preserve"> summer</w:t>
            </w:r>
          </w:p>
          <w:p w14:paraId="395D6299" w14:textId="77777777" w:rsidR="00297374" w:rsidRDefault="00297374" w:rsidP="00682B89">
            <w:pPr>
              <w:pStyle w:val="Tablesmalltext"/>
              <w:rPr>
                <w:b/>
              </w:rPr>
            </w:pPr>
            <w:r>
              <w:rPr>
                <w:b/>
              </w:rPr>
              <w:t>30 ML/d winter</w:t>
            </w:r>
          </w:p>
          <w:p w14:paraId="0D940241" w14:textId="0B726654" w:rsidR="00297374" w:rsidRPr="008E2265" w:rsidRDefault="00297374" w:rsidP="00682B89">
            <w:pPr>
              <w:pStyle w:val="Tablesmalltext"/>
              <w:rPr>
                <w:b/>
              </w:rPr>
            </w:pPr>
            <w:r>
              <w:rPr>
                <w:b/>
              </w:rPr>
              <w:t>100 ML/d max to minimise excessive inundation of backwater habitats</w:t>
            </w:r>
          </w:p>
        </w:tc>
      </w:tr>
      <w:tr w:rsidR="00297374" w:rsidRPr="00794C71" w14:paraId="24A72B01" w14:textId="77777777" w:rsidTr="00A30914">
        <w:tc>
          <w:tcPr>
            <w:tcW w:w="1129" w:type="dxa"/>
          </w:tcPr>
          <w:p w14:paraId="77F59EA6" w14:textId="6F1CB100" w:rsidR="00297374" w:rsidRPr="009D1BF3" w:rsidRDefault="00297374" w:rsidP="00682B89">
            <w:pPr>
              <w:pStyle w:val="Tablesmalltext"/>
              <w:rPr>
                <w:b/>
              </w:rPr>
            </w:pPr>
            <w:r w:rsidRPr="009D1BF3">
              <w:rPr>
                <w:b/>
              </w:rPr>
              <w:t>High flows</w:t>
            </w:r>
            <w:r w:rsidR="009D1BF3">
              <w:rPr>
                <w:b/>
              </w:rPr>
              <w:t xml:space="preserve"> (anytime)</w:t>
            </w:r>
          </w:p>
        </w:tc>
        <w:tc>
          <w:tcPr>
            <w:tcW w:w="2694" w:type="dxa"/>
          </w:tcPr>
          <w:p w14:paraId="24D444A3" w14:textId="6DD63C81" w:rsidR="00297374" w:rsidRPr="00794C71" w:rsidRDefault="00682B89" w:rsidP="00682B89">
            <w:pPr>
              <w:pStyle w:val="Tablesmalltext"/>
            </w:pPr>
            <w:r>
              <w:t xml:space="preserve">Frequency and duration of time above critical thresholds for inundating dwarf galaxias habitat </w:t>
            </w:r>
          </w:p>
        </w:tc>
        <w:tc>
          <w:tcPr>
            <w:tcW w:w="4252" w:type="dxa"/>
          </w:tcPr>
          <w:p w14:paraId="7E59DE47" w14:textId="4B5C2D54" w:rsidR="00297374" w:rsidRDefault="00682B89" w:rsidP="00682B89">
            <w:pPr>
              <w:pStyle w:val="Tablesmalltext"/>
            </w:pPr>
            <w:r>
              <w:t>Hec Ras modelling has identified anabranches and backwater areas along Cardinia Creek from Minta Farm to the Cardinia Drop Structure and determined the flow magnitudes that commence to inundate these habitats.  Thresholds range from 150-1000 ML/d with most potential habitats inundated at between 250 and 500 ML/d.</w:t>
            </w:r>
          </w:p>
        </w:tc>
        <w:tc>
          <w:tcPr>
            <w:tcW w:w="2126" w:type="dxa"/>
          </w:tcPr>
          <w:p w14:paraId="58B14B6B" w14:textId="7A585880" w:rsidR="00297374" w:rsidRPr="008E2265" w:rsidRDefault="00682B89" w:rsidP="00682B89">
            <w:pPr>
              <w:pStyle w:val="Tablesmalltext"/>
              <w:rPr>
                <w:b/>
              </w:rPr>
            </w:pPr>
            <w:r>
              <w:rPr>
                <w:b/>
              </w:rPr>
              <w:t>Range of flows from 150-1000 ML/d</w:t>
            </w:r>
          </w:p>
        </w:tc>
      </w:tr>
    </w:tbl>
    <w:p w14:paraId="6EE17E47" w14:textId="7178DCCD" w:rsidR="00D76DD8" w:rsidRDefault="00425457" w:rsidP="006800F0">
      <w:pPr>
        <w:pStyle w:val="Para0"/>
      </w:pPr>
      <w:bookmarkStart w:id="62" w:name="_Ref42612674"/>
      <w:r>
        <w:t>Table</w:t>
      </w:r>
      <w:r w:rsidR="00D76DD8">
        <w:t xml:space="preserve"> </w:t>
      </w:r>
      <w:r w:rsidR="00E67EC2">
        <w:fldChar w:fldCharType="begin"/>
      </w:r>
      <w:r w:rsidR="00E67EC2">
        <w:instrText xml:space="preserve"> STYLEREF 1 \s </w:instrText>
      </w:r>
      <w:r w:rsidR="00E67EC2">
        <w:fldChar w:fldCharType="separate"/>
      </w:r>
      <w:r w:rsidR="00BE5F47">
        <w:rPr>
          <w:noProof/>
        </w:rPr>
        <w:t>4</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3</w:t>
      </w:r>
      <w:r w:rsidR="00E67EC2">
        <w:fldChar w:fldCharType="end"/>
      </w:r>
      <w:bookmarkEnd w:id="62"/>
      <w:r w:rsidR="00D76DD8">
        <w:t xml:space="preserve"> </w:t>
      </w:r>
      <w:r w:rsidR="00D76DD8" w:rsidRPr="0021215E">
        <w:t xml:space="preserve">Flow components for </w:t>
      </w:r>
      <w:r w:rsidR="00D0325B">
        <w:t xml:space="preserve">Australian grayling </w:t>
      </w:r>
      <w:r w:rsidR="00D76DD8" w:rsidRPr="0021215E">
        <w:t>life histor</w:t>
      </w:r>
      <w:r w:rsidR="00D0325B">
        <w:t xml:space="preserve">y </w:t>
      </w:r>
      <w:r w:rsidR="00682B89">
        <w:t xml:space="preserve">and habitat </w:t>
      </w:r>
      <w:r w:rsidR="00D0325B">
        <w:t>requirements</w:t>
      </w:r>
    </w:p>
    <w:tbl>
      <w:tblPr>
        <w:tblStyle w:val="TableGrid"/>
        <w:tblW w:w="10201" w:type="dxa"/>
        <w:tblLayout w:type="fixed"/>
        <w:tblLook w:val="04A0" w:firstRow="1" w:lastRow="0" w:firstColumn="1" w:lastColumn="0" w:noHBand="0" w:noVBand="1"/>
      </w:tblPr>
      <w:tblGrid>
        <w:gridCol w:w="1129"/>
        <w:gridCol w:w="2694"/>
        <w:gridCol w:w="4252"/>
        <w:gridCol w:w="2126"/>
      </w:tblGrid>
      <w:tr w:rsidR="009D1BF3" w:rsidRPr="00794C71" w14:paraId="767BF6A1" w14:textId="77777777" w:rsidTr="00A30914">
        <w:trPr>
          <w:trHeight w:val="800"/>
        </w:trPr>
        <w:tc>
          <w:tcPr>
            <w:tcW w:w="1129" w:type="dxa"/>
            <w:tcMar>
              <w:left w:w="34" w:type="dxa"/>
              <w:right w:w="34" w:type="dxa"/>
            </w:tcMar>
            <w:vAlign w:val="bottom"/>
          </w:tcPr>
          <w:p w14:paraId="3FF43E19" w14:textId="77777777" w:rsidR="009D1BF3" w:rsidRPr="00D76DD8" w:rsidRDefault="009D1BF3" w:rsidP="00D76DD8">
            <w:pPr>
              <w:pStyle w:val="Tablesmalltext"/>
              <w:rPr>
                <w:b/>
                <w:szCs w:val="16"/>
              </w:rPr>
            </w:pPr>
            <w:r w:rsidRPr="00D76DD8">
              <w:rPr>
                <w:b/>
              </w:rPr>
              <w:t>Season</w:t>
            </w:r>
          </w:p>
        </w:tc>
        <w:tc>
          <w:tcPr>
            <w:tcW w:w="2694" w:type="dxa"/>
            <w:tcMar>
              <w:left w:w="34" w:type="dxa"/>
              <w:right w:w="34" w:type="dxa"/>
            </w:tcMar>
            <w:vAlign w:val="bottom"/>
          </w:tcPr>
          <w:p w14:paraId="7423317D" w14:textId="0F3DFAF3" w:rsidR="009D1BF3" w:rsidRPr="00D76DD8" w:rsidRDefault="009D1BF3" w:rsidP="009D1BF3">
            <w:pPr>
              <w:pStyle w:val="Tablesmalltext"/>
              <w:rPr>
                <w:b/>
                <w:szCs w:val="16"/>
              </w:rPr>
            </w:pPr>
            <w:r w:rsidRPr="00D76DD8">
              <w:rPr>
                <w:b/>
                <w:szCs w:val="16"/>
              </w:rPr>
              <w:t>Component</w:t>
            </w:r>
          </w:p>
        </w:tc>
        <w:tc>
          <w:tcPr>
            <w:tcW w:w="4252" w:type="dxa"/>
            <w:vAlign w:val="bottom"/>
          </w:tcPr>
          <w:p w14:paraId="17FF0CCB" w14:textId="5613F6C9" w:rsidR="009D1BF3" w:rsidRPr="00D76DD8" w:rsidRDefault="009D1BF3" w:rsidP="009D1BF3">
            <w:pPr>
              <w:pStyle w:val="Tablesmalltext"/>
              <w:rPr>
                <w:b/>
                <w:szCs w:val="16"/>
              </w:rPr>
            </w:pPr>
            <w:r w:rsidRPr="00D76DD8">
              <w:rPr>
                <w:b/>
                <w:szCs w:val="16"/>
              </w:rPr>
              <w:t>R</w:t>
            </w:r>
            <w:r>
              <w:rPr>
                <w:b/>
                <w:szCs w:val="16"/>
              </w:rPr>
              <w:t>ationale</w:t>
            </w:r>
          </w:p>
        </w:tc>
        <w:tc>
          <w:tcPr>
            <w:tcW w:w="2126" w:type="dxa"/>
            <w:tcMar>
              <w:left w:w="34" w:type="dxa"/>
              <w:right w:w="34" w:type="dxa"/>
            </w:tcMar>
            <w:vAlign w:val="bottom"/>
          </w:tcPr>
          <w:p w14:paraId="2E9A74B4" w14:textId="6FFEBD91" w:rsidR="009D1BF3" w:rsidRPr="00D76DD8" w:rsidRDefault="009D1BF3" w:rsidP="00D76DD8">
            <w:pPr>
              <w:pStyle w:val="Tablesmalltext"/>
              <w:rPr>
                <w:b/>
                <w:szCs w:val="16"/>
              </w:rPr>
            </w:pPr>
            <w:r w:rsidRPr="00D76DD8">
              <w:rPr>
                <w:b/>
                <w:szCs w:val="16"/>
              </w:rPr>
              <w:t>Thresholds</w:t>
            </w:r>
            <w:r>
              <w:rPr>
                <w:b/>
                <w:szCs w:val="16"/>
              </w:rPr>
              <w:t xml:space="preserve"> (at Cardinia Drop Structure, Chasemore Road and WPB outlet)</w:t>
            </w:r>
          </w:p>
        </w:tc>
      </w:tr>
      <w:tr w:rsidR="00D76DD8" w:rsidRPr="00794C71" w14:paraId="5F56D0DB" w14:textId="77777777" w:rsidTr="00A30914">
        <w:trPr>
          <w:trHeight w:val="795"/>
        </w:trPr>
        <w:tc>
          <w:tcPr>
            <w:tcW w:w="1129" w:type="dxa"/>
            <w:vMerge w:val="restart"/>
            <w:tcMar>
              <w:left w:w="34" w:type="dxa"/>
              <w:right w:w="34" w:type="dxa"/>
            </w:tcMar>
          </w:tcPr>
          <w:p w14:paraId="2113AA75" w14:textId="77777777" w:rsidR="00D76DD8" w:rsidRPr="00D76DD8" w:rsidRDefault="00D76DD8" w:rsidP="00D76DD8">
            <w:pPr>
              <w:pStyle w:val="Tablesmalltext"/>
              <w:rPr>
                <w:b/>
                <w:szCs w:val="16"/>
              </w:rPr>
            </w:pPr>
            <w:r w:rsidRPr="00D76DD8">
              <w:rPr>
                <w:b/>
                <w:szCs w:val="16"/>
              </w:rPr>
              <w:t>Summer low flows (December-May)</w:t>
            </w:r>
          </w:p>
        </w:tc>
        <w:tc>
          <w:tcPr>
            <w:tcW w:w="2694" w:type="dxa"/>
            <w:vMerge w:val="restart"/>
            <w:tcMar>
              <w:left w:w="34" w:type="dxa"/>
              <w:right w:w="34" w:type="dxa"/>
            </w:tcMar>
          </w:tcPr>
          <w:p w14:paraId="0A7F1270" w14:textId="31634EF1" w:rsidR="00D76DD8" w:rsidRPr="00794C71" w:rsidRDefault="00D76DD8" w:rsidP="00D76DD8">
            <w:pPr>
              <w:pStyle w:val="Tablesmalltext"/>
              <w:rPr>
                <w:szCs w:val="16"/>
              </w:rPr>
            </w:pPr>
            <w:r w:rsidRPr="00794C71">
              <w:rPr>
                <w:szCs w:val="16"/>
              </w:rPr>
              <w:t>Magnitude</w:t>
            </w:r>
            <w:r>
              <w:rPr>
                <w:szCs w:val="16"/>
              </w:rPr>
              <w:t xml:space="preserve"> (percentage of time above specific magnitudes)</w:t>
            </w:r>
            <w:r w:rsidR="00D0325B">
              <w:rPr>
                <w:szCs w:val="16"/>
              </w:rPr>
              <w:t xml:space="preserve">. Sufficient to maintain access to </w:t>
            </w:r>
            <w:r w:rsidR="008E086F">
              <w:rPr>
                <w:szCs w:val="16"/>
              </w:rPr>
              <w:t xml:space="preserve">riffle and pool habitats </w:t>
            </w:r>
            <w:r w:rsidR="00D0325B">
              <w:rPr>
                <w:szCs w:val="16"/>
              </w:rPr>
              <w:t>and movement through fishways.</w:t>
            </w:r>
          </w:p>
        </w:tc>
        <w:tc>
          <w:tcPr>
            <w:tcW w:w="4252" w:type="dxa"/>
            <w:vMerge w:val="restart"/>
            <w:tcMar>
              <w:left w:w="34" w:type="dxa"/>
              <w:right w:w="34" w:type="dxa"/>
            </w:tcMar>
          </w:tcPr>
          <w:p w14:paraId="094DF921" w14:textId="77777777" w:rsidR="008E086F" w:rsidRDefault="008E086F" w:rsidP="00D76DD8">
            <w:pPr>
              <w:pStyle w:val="Tablesmalltext"/>
              <w:rPr>
                <w:szCs w:val="16"/>
              </w:rPr>
            </w:pPr>
            <w:r>
              <w:rPr>
                <w:szCs w:val="16"/>
              </w:rPr>
              <w:t xml:space="preserve">The current low flow recommendations for Cardinia Creek is 5 ML/d </w:t>
            </w:r>
            <w:r>
              <w:rPr>
                <w:szCs w:val="16"/>
              </w:rPr>
              <w:fldChar w:fldCharType="begin"/>
            </w:r>
            <w:r>
              <w:rPr>
                <w:szCs w:val="16"/>
              </w:rPr>
              <w:instrText xml:space="preserve"> ADDIN EN.CITE &lt;EndNote&gt;&lt;Cite&gt;&lt;Author&gt;Doeg&lt;/Author&gt;&lt;Year&gt;2012&lt;/Year&gt;&lt;RecNum&gt;3695&lt;/RecNum&gt;&lt;Prefix&gt;as specified in &lt;/Prefix&gt;&lt;DisplayText&gt;(as specified in Doeg, 2012)&lt;/DisplayText&gt;&lt;record&gt;&lt;rec-number&gt;3695&lt;/rec-number&gt;&lt;foreign-keys&gt;&lt;key app="EN" db-id="d0s2errflvze20evzxyvr9xzwfwste2v9tf2" timestamp="1575584584"&gt;3695&lt;/key&gt;&lt;/foreign-keys&gt;&lt;ref-type name="Report"&gt;27&lt;/ref-type&gt;&lt;contributors&gt;&lt;authors&gt;&lt;author&gt;Doeg, T.J.&lt;/author&gt;&lt;/authors&gt;&lt;tertiary-authors&gt;&lt;author&gt;Report prepared for Melbourne Water&lt;/author&gt;&lt;/tertiary-authors&gt;&lt;/contributors&gt;&lt;titles&gt;&lt;title&gt;Assessment of the passing flows regime from Cardinia Reservoir&lt;/title&gt;&lt;/titles&gt;&lt;dates&gt;&lt;year&gt;2012&lt;/year&gt;&lt;/dates&gt;&lt;urls&gt;&lt;/urls&gt;&lt;/record&gt;&lt;/Cite&gt;&lt;/EndNote&gt;</w:instrText>
            </w:r>
            <w:r>
              <w:rPr>
                <w:szCs w:val="16"/>
              </w:rPr>
              <w:fldChar w:fldCharType="separate"/>
            </w:r>
            <w:r>
              <w:rPr>
                <w:noProof/>
                <w:szCs w:val="16"/>
              </w:rPr>
              <w:t>(as specified in Doeg, 2012)</w:t>
            </w:r>
            <w:r>
              <w:rPr>
                <w:szCs w:val="16"/>
              </w:rPr>
              <w:fldChar w:fldCharType="end"/>
            </w:r>
            <w:r>
              <w:rPr>
                <w:szCs w:val="16"/>
              </w:rPr>
              <w:t>.</w:t>
            </w:r>
          </w:p>
          <w:p w14:paraId="0D12F32C" w14:textId="77777777" w:rsidR="008E086F" w:rsidRDefault="00D0325B" w:rsidP="00D76DD8">
            <w:pPr>
              <w:pStyle w:val="Tablesmalltext"/>
              <w:rPr>
                <w:szCs w:val="16"/>
              </w:rPr>
            </w:pPr>
            <w:r>
              <w:rPr>
                <w:szCs w:val="16"/>
              </w:rPr>
              <w:t xml:space="preserve">Hec Ras modelling </w:t>
            </w:r>
            <w:r w:rsidR="008E086F">
              <w:rPr>
                <w:szCs w:val="16"/>
              </w:rPr>
              <w:t>identified 10 ML/d is sufficient to maintain a depth of 10-20 cm over 90% of cross section).</w:t>
            </w:r>
          </w:p>
          <w:p w14:paraId="47F3148D" w14:textId="0ACBE24B" w:rsidR="002F394C" w:rsidRPr="00794C71" w:rsidRDefault="008E086F" w:rsidP="00D76DD8">
            <w:pPr>
              <w:pStyle w:val="Tablesmalltext"/>
              <w:rPr>
                <w:szCs w:val="16"/>
              </w:rPr>
            </w:pPr>
            <w:r>
              <w:rPr>
                <w:szCs w:val="16"/>
              </w:rPr>
              <w:t>Current f</w:t>
            </w:r>
            <w:r w:rsidR="002F394C">
              <w:rPr>
                <w:szCs w:val="16"/>
              </w:rPr>
              <w:t>ishway</w:t>
            </w:r>
            <w:r>
              <w:rPr>
                <w:szCs w:val="16"/>
              </w:rPr>
              <w:t xml:space="preserve"> </w:t>
            </w:r>
            <w:r w:rsidR="00D0325B">
              <w:rPr>
                <w:szCs w:val="16"/>
              </w:rPr>
              <w:t xml:space="preserve">operational range is predicted to be 5-350 ML/d </w:t>
            </w:r>
            <w:r>
              <w:rPr>
                <w:szCs w:val="16"/>
              </w:rPr>
              <w:t>(</w:t>
            </w:r>
            <w:r w:rsidR="00D0325B">
              <w:rPr>
                <w:szCs w:val="16"/>
              </w:rPr>
              <w:t>Ivor Stuart, DELWP, Pers. Com.)</w:t>
            </w:r>
            <w:r>
              <w:rPr>
                <w:szCs w:val="16"/>
              </w:rPr>
              <w:t>.</w:t>
            </w:r>
          </w:p>
        </w:tc>
        <w:tc>
          <w:tcPr>
            <w:tcW w:w="2126" w:type="dxa"/>
            <w:tcMar>
              <w:left w:w="34" w:type="dxa"/>
              <w:right w:w="34" w:type="dxa"/>
            </w:tcMar>
          </w:tcPr>
          <w:p w14:paraId="53683219" w14:textId="77777777" w:rsidR="00D76DD8" w:rsidRPr="009D1BF3" w:rsidRDefault="00D76DD8" w:rsidP="00D76DD8">
            <w:pPr>
              <w:pStyle w:val="Tablesmalltext"/>
              <w:rPr>
                <w:b/>
                <w:szCs w:val="16"/>
              </w:rPr>
            </w:pPr>
            <w:r w:rsidRPr="009D1BF3">
              <w:rPr>
                <w:b/>
                <w:szCs w:val="16"/>
              </w:rPr>
              <w:t>5 ML/d for fishway operation</w:t>
            </w:r>
          </w:p>
        </w:tc>
      </w:tr>
      <w:tr w:rsidR="00D76DD8" w:rsidRPr="00790B50" w14:paraId="5A885616" w14:textId="77777777" w:rsidTr="00A30914">
        <w:trPr>
          <w:trHeight w:val="795"/>
        </w:trPr>
        <w:tc>
          <w:tcPr>
            <w:tcW w:w="1129" w:type="dxa"/>
            <w:vMerge/>
            <w:tcMar>
              <w:left w:w="34" w:type="dxa"/>
              <w:right w:w="34" w:type="dxa"/>
            </w:tcMar>
          </w:tcPr>
          <w:p w14:paraId="2097515B" w14:textId="77777777" w:rsidR="00D76DD8" w:rsidRPr="00D76DD8" w:rsidRDefault="00D76DD8" w:rsidP="00D76DD8">
            <w:pPr>
              <w:pStyle w:val="Tablesmalltext"/>
              <w:rPr>
                <w:b/>
                <w:szCs w:val="16"/>
              </w:rPr>
            </w:pPr>
          </w:p>
        </w:tc>
        <w:tc>
          <w:tcPr>
            <w:tcW w:w="2694" w:type="dxa"/>
            <w:vMerge/>
            <w:tcMar>
              <w:left w:w="34" w:type="dxa"/>
              <w:right w:w="34" w:type="dxa"/>
            </w:tcMar>
          </w:tcPr>
          <w:p w14:paraId="6818C3D5" w14:textId="77777777" w:rsidR="00D76DD8" w:rsidRPr="00794C71" w:rsidRDefault="00D76DD8" w:rsidP="00D76DD8">
            <w:pPr>
              <w:pStyle w:val="Tablesmalltext"/>
              <w:rPr>
                <w:szCs w:val="16"/>
              </w:rPr>
            </w:pPr>
          </w:p>
        </w:tc>
        <w:tc>
          <w:tcPr>
            <w:tcW w:w="4252" w:type="dxa"/>
            <w:vMerge/>
            <w:tcMar>
              <w:left w:w="34" w:type="dxa"/>
              <w:right w:w="34" w:type="dxa"/>
            </w:tcMar>
          </w:tcPr>
          <w:p w14:paraId="191DAFED" w14:textId="77777777" w:rsidR="00D76DD8" w:rsidRPr="00794C71" w:rsidRDefault="00D76DD8" w:rsidP="00D76DD8">
            <w:pPr>
              <w:pStyle w:val="Tablesmalltext"/>
              <w:rPr>
                <w:szCs w:val="16"/>
              </w:rPr>
            </w:pPr>
          </w:p>
        </w:tc>
        <w:tc>
          <w:tcPr>
            <w:tcW w:w="2126" w:type="dxa"/>
            <w:tcMar>
              <w:left w:w="34" w:type="dxa"/>
              <w:right w:w="34" w:type="dxa"/>
            </w:tcMar>
          </w:tcPr>
          <w:p w14:paraId="22F2E001" w14:textId="77777777" w:rsidR="00D76DD8" w:rsidRPr="009D1BF3" w:rsidRDefault="00D76DD8" w:rsidP="00D76DD8">
            <w:pPr>
              <w:pStyle w:val="Tablesmalltext"/>
              <w:rPr>
                <w:b/>
                <w:szCs w:val="16"/>
              </w:rPr>
            </w:pPr>
            <w:r w:rsidRPr="009D1BF3">
              <w:rPr>
                <w:b/>
                <w:szCs w:val="16"/>
              </w:rPr>
              <w:t>10 ML/d (10-20 cm over ~90% of cross sections</w:t>
            </w:r>
          </w:p>
        </w:tc>
      </w:tr>
      <w:tr w:rsidR="00D76DD8" w:rsidRPr="00097408" w14:paraId="54615879" w14:textId="77777777" w:rsidTr="00A30914">
        <w:trPr>
          <w:trHeight w:val="432"/>
        </w:trPr>
        <w:tc>
          <w:tcPr>
            <w:tcW w:w="1129" w:type="dxa"/>
            <w:vMerge w:val="restart"/>
            <w:tcMar>
              <w:left w:w="34" w:type="dxa"/>
              <w:right w:w="34" w:type="dxa"/>
            </w:tcMar>
          </w:tcPr>
          <w:p w14:paraId="3B5B6E06" w14:textId="16292EA9" w:rsidR="00D76DD8" w:rsidRPr="00D76DD8" w:rsidRDefault="00D76DD8" w:rsidP="00D76DD8">
            <w:pPr>
              <w:pStyle w:val="Tablesmalltext"/>
              <w:rPr>
                <w:b/>
                <w:szCs w:val="16"/>
              </w:rPr>
            </w:pPr>
            <w:r w:rsidRPr="00D76DD8">
              <w:rPr>
                <w:b/>
                <w:szCs w:val="16"/>
              </w:rPr>
              <w:t>Autumn spawning freshes (April-June)</w:t>
            </w:r>
          </w:p>
        </w:tc>
        <w:tc>
          <w:tcPr>
            <w:tcW w:w="2694" w:type="dxa"/>
            <w:vMerge w:val="restart"/>
            <w:tcMar>
              <w:left w:w="34" w:type="dxa"/>
              <w:right w:w="34" w:type="dxa"/>
            </w:tcMar>
          </w:tcPr>
          <w:p w14:paraId="3D98A277" w14:textId="7E7F9A8B" w:rsidR="00D76DD8" w:rsidRPr="00794C71" w:rsidRDefault="00D76DD8" w:rsidP="00D76DD8">
            <w:pPr>
              <w:pStyle w:val="Tablesmalltext"/>
              <w:rPr>
                <w:szCs w:val="16"/>
              </w:rPr>
            </w:pPr>
            <w:r>
              <w:rPr>
                <w:szCs w:val="16"/>
              </w:rPr>
              <w:t>Autumn fresh of sufficient magnitude and duration to</w:t>
            </w:r>
            <w:r w:rsidRPr="00794C71">
              <w:rPr>
                <w:szCs w:val="16"/>
              </w:rPr>
              <w:t xml:space="preserve"> enable</w:t>
            </w:r>
            <w:r>
              <w:rPr>
                <w:szCs w:val="16"/>
              </w:rPr>
              <w:t xml:space="preserve"> spawning</w:t>
            </w:r>
            <w:r w:rsidRPr="00794C71">
              <w:rPr>
                <w:szCs w:val="16"/>
              </w:rPr>
              <w:t xml:space="preserve"> life cycle event to be completed.</w:t>
            </w:r>
            <w:r>
              <w:rPr>
                <w:szCs w:val="16"/>
              </w:rPr>
              <w:t xml:space="preserve"> </w:t>
            </w:r>
            <w:r w:rsidR="00A30914">
              <w:rPr>
                <w:szCs w:val="16"/>
              </w:rPr>
              <w:t xml:space="preserve"> Typically</w:t>
            </w:r>
            <w:r>
              <w:rPr>
                <w:szCs w:val="16"/>
              </w:rPr>
              <w:t xml:space="preserve">10-15 days or longer based on research </w:t>
            </w:r>
            <w:r w:rsidR="004B4EEB">
              <w:rPr>
                <w:szCs w:val="16"/>
              </w:rPr>
              <w:t xml:space="preserve">from </w:t>
            </w:r>
            <w:r w:rsidR="002F394C">
              <w:rPr>
                <w:szCs w:val="16"/>
              </w:rPr>
              <w:t xml:space="preserve">the nearby </w:t>
            </w:r>
            <w:r w:rsidR="004B4EEB">
              <w:rPr>
                <w:szCs w:val="16"/>
              </w:rPr>
              <w:t xml:space="preserve">Bunyip River </w:t>
            </w:r>
            <w:r w:rsidR="002F394C">
              <w:rPr>
                <w:szCs w:val="16"/>
              </w:rPr>
              <w:fldChar w:fldCharType="begin"/>
            </w:r>
            <w:r w:rsidR="002F394C">
              <w:rPr>
                <w:szCs w:val="16"/>
              </w:rPr>
              <w:instrText xml:space="preserve"> ADDIN EN.CITE &lt;EndNote&gt;&lt;Cite&gt;&lt;Author&gt;Koster&lt;/Author&gt;&lt;Year&gt;2013&lt;/Year&gt;&lt;RecNum&gt;3696&lt;/RecNum&gt;&lt;DisplayText&gt;(Koster&lt;style face="italic"&gt; et al.&lt;/style&gt;, 2013)&lt;/DisplayText&gt;&lt;record&gt;&lt;rec-number&gt;3696&lt;/rec-number&gt;&lt;foreign-keys&gt;&lt;key app="EN" db-id="d0s2errflvze20evzxyvr9xzwfwste2v9tf2" timestamp="1575584880"&gt;3696&lt;/key&gt;&lt;/foreign-keys&gt;&lt;ref-type name="Journal Article"&gt;17&lt;/ref-type&gt;&lt;contributors&gt;&lt;authors&gt;&lt;author&gt;Koster, W. M.&lt;/author&gt;&lt;author&gt;Dawson, D. R.&lt;/author&gt;&lt;author&gt;Crook, D. A.&lt;/author&gt;&lt;/authors&gt;&lt;/contributors&gt;&lt;titles&gt;&lt;title&gt;Downstream spawning migration by the amphidromous Australian grayling (&amp;lt;i&amp;gt;Prototroctes maraena&amp;lt;/i&amp;gt;) in a coastal river in south-eastern Australia&lt;/title&gt;&lt;secondary-title&gt;Marine and Freshwater Research&lt;/secondary-title&gt;&lt;/titles&gt;&lt;periodical&gt;&lt;full-title&gt;Marine and Freshwater Research&lt;/full-title&gt;&lt;/periodical&gt;&lt;pages&gt;31-41&lt;/pages&gt;&lt;volume&gt;64&lt;/volume&gt;&lt;number&gt;1&lt;/number&gt;&lt;keywords&gt;&lt;keyword&gt;amphidromy, environmental flows, reproduction, Retropinnidae, telemetry.&lt;/keyword&gt;&lt;/keywords&gt;&lt;dates&gt;&lt;year&gt;2013&lt;/year&gt;&lt;/dates&gt;&lt;urls&gt;&lt;related-urls&gt;&lt;url&gt;https://www.publish.csiro.au/paper/MF12196&lt;/url&gt;&lt;/related-urls&gt;&lt;/urls&gt;&lt;electronic-resource-num&gt;https://doi.org/10.1071/MF12196&lt;/electronic-resource-num&gt;&lt;/record&gt;&lt;/Cite&gt;&lt;/EndNote&gt;</w:instrText>
            </w:r>
            <w:r w:rsidR="002F394C">
              <w:rPr>
                <w:szCs w:val="16"/>
              </w:rPr>
              <w:fldChar w:fldCharType="separate"/>
            </w:r>
            <w:r w:rsidR="002F394C">
              <w:rPr>
                <w:noProof/>
                <w:szCs w:val="16"/>
              </w:rPr>
              <w:t>(Koster</w:t>
            </w:r>
            <w:r w:rsidR="002F394C" w:rsidRPr="002F394C">
              <w:rPr>
                <w:i/>
                <w:noProof/>
                <w:szCs w:val="16"/>
              </w:rPr>
              <w:t xml:space="preserve"> et al.</w:t>
            </w:r>
            <w:r w:rsidR="002F394C">
              <w:rPr>
                <w:noProof/>
                <w:szCs w:val="16"/>
              </w:rPr>
              <w:t>, 2013)</w:t>
            </w:r>
            <w:r w:rsidR="002F394C">
              <w:rPr>
                <w:szCs w:val="16"/>
              </w:rPr>
              <w:fldChar w:fldCharType="end"/>
            </w:r>
            <w:r>
              <w:rPr>
                <w:szCs w:val="16"/>
              </w:rPr>
              <w:t>.</w:t>
            </w:r>
          </w:p>
        </w:tc>
        <w:tc>
          <w:tcPr>
            <w:tcW w:w="4252" w:type="dxa"/>
            <w:vMerge w:val="restart"/>
            <w:tcMar>
              <w:left w:w="34" w:type="dxa"/>
              <w:right w:w="34" w:type="dxa"/>
            </w:tcMar>
          </w:tcPr>
          <w:p w14:paraId="6A0E3256" w14:textId="76294230" w:rsidR="00D76DD8" w:rsidRPr="00794C71" w:rsidRDefault="00D76DD8" w:rsidP="008E086F">
            <w:pPr>
              <w:pStyle w:val="Tablesmalltext"/>
              <w:rPr>
                <w:szCs w:val="16"/>
              </w:rPr>
            </w:pPr>
            <w:r>
              <w:rPr>
                <w:szCs w:val="16"/>
              </w:rPr>
              <w:t>A range of event magnitudes have been selected and the duration</w:t>
            </w:r>
            <w:r w:rsidR="00297374">
              <w:rPr>
                <w:szCs w:val="16"/>
              </w:rPr>
              <w:t xml:space="preserve"> (above threshold)</w:t>
            </w:r>
            <w:r>
              <w:rPr>
                <w:szCs w:val="16"/>
              </w:rPr>
              <w:t xml:space="preserve"> and number of events per season are compared between current and developed conditions</w:t>
            </w:r>
            <w:r w:rsidR="002F394C">
              <w:rPr>
                <w:szCs w:val="16"/>
              </w:rPr>
              <w:t xml:space="preserve">.  These include events that range in duration from 5 days through to 15 days as per the duration suggested by </w:t>
            </w:r>
            <w:r w:rsidR="002F394C">
              <w:rPr>
                <w:szCs w:val="16"/>
              </w:rPr>
              <w:fldChar w:fldCharType="begin"/>
            </w:r>
            <w:r w:rsidR="002F394C">
              <w:rPr>
                <w:szCs w:val="16"/>
              </w:rPr>
              <w:instrText xml:space="preserve"> ADDIN EN.CITE &lt;EndNote&gt;&lt;Cite AuthorYear="1"&gt;&lt;Author&gt;Koster&lt;/Author&gt;&lt;Year&gt;2013&lt;/Year&gt;&lt;RecNum&gt;3696&lt;/RecNum&gt;&lt;DisplayText&gt;Koster&lt;style face="italic"&gt; et al.&lt;/style&gt; (2013)&lt;/DisplayText&gt;&lt;record&gt;&lt;rec-number&gt;3696&lt;/rec-number&gt;&lt;foreign-keys&gt;&lt;key app="EN" db-id="d0s2errflvze20evzxyvr9xzwfwste2v9tf2" timestamp="1575584880"&gt;3696&lt;/key&gt;&lt;/foreign-keys&gt;&lt;ref-type name="Journal Article"&gt;17&lt;/ref-type&gt;&lt;contributors&gt;&lt;authors&gt;&lt;author&gt;Koster, W. M.&lt;/author&gt;&lt;author&gt;Dawson, D. R.&lt;/author&gt;&lt;author&gt;Crook, D. A.&lt;/author&gt;&lt;/authors&gt;&lt;/contributors&gt;&lt;titles&gt;&lt;title&gt;Downstream spawning migration by the amphidromous Australian grayling (&amp;lt;i&amp;gt;Prototroctes maraena&amp;lt;/i&amp;gt;) in a coastal river in south-eastern Australia&lt;/title&gt;&lt;secondary-title&gt;Marine and Freshwater Research&lt;/secondary-title&gt;&lt;/titles&gt;&lt;periodical&gt;&lt;full-title&gt;Marine and Freshwater Research&lt;/full-title&gt;&lt;/periodical&gt;&lt;pages&gt;31-41&lt;/pages&gt;&lt;volume&gt;64&lt;/volume&gt;&lt;number&gt;1&lt;/number&gt;&lt;keywords&gt;&lt;keyword&gt;amphidromy, environmental flows, reproduction, Retropinnidae, telemetry.&lt;/keyword&gt;&lt;/keywords&gt;&lt;dates&gt;&lt;year&gt;2013&lt;/year&gt;&lt;/dates&gt;&lt;urls&gt;&lt;related-urls&gt;&lt;url&gt;https://www.publish.csiro.au/paper/MF12196&lt;/url&gt;&lt;/related-urls&gt;&lt;/urls&gt;&lt;electronic-resource-num&gt;https://doi.org/10.1071/MF12196&lt;/electronic-resource-num&gt;&lt;/record&gt;&lt;/Cite&gt;&lt;/EndNote&gt;</w:instrText>
            </w:r>
            <w:r w:rsidR="002F394C">
              <w:rPr>
                <w:szCs w:val="16"/>
              </w:rPr>
              <w:fldChar w:fldCharType="separate"/>
            </w:r>
            <w:r w:rsidR="002F394C">
              <w:rPr>
                <w:noProof/>
                <w:szCs w:val="16"/>
              </w:rPr>
              <w:t>Koster</w:t>
            </w:r>
            <w:r w:rsidR="002F394C" w:rsidRPr="002F394C">
              <w:rPr>
                <w:i/>
                <w:noProof/>
                <w:szCs w:val="16"/>
              </w:rPr>
              <w:t xml:space="preserve"> et al.</w:t>
            </w:r>
            <w:r w:rsidR="002F394C">
              <w:rPr>
                <w:noProof/>
                <w:szCs w:val="16"/>
              </w:rPr>
              <w:t xml:space="preserve"> (2013)</w:t>
            </w:r>
            <w:r w:rsidR="002F394C">
              <w:rPr>
                <w:szCs w:val="16"/>
              </w:rPr>
              <w:fldChar w:fldCharType="end"/>
            </w:r>
            <w:r w:rsidR="002F394C">
              <w:rPr>
                <w:szCs w:val="16"/>
              </w:rPr>
              <w:t>.</w:t>
            </w:r>
          </w:p>
        </w:tc>
        <w:tc>
          <w:tcPr>
            <w:tcW w:w="2126" w:type="dxa"/>
            <w:tcMar>
              <w:left w:w="34" w:type="dxa"/>
              <w:right w:w="34" w:type="dxa"/>
            </w:tcMar>
          </w:tcPr>
          <w:p w14:paraId="3DADECC7" w14:textId="4988238B" w:rsidR="00D76DD8" w:rsidRPr="00097408" w:rsidRDefault="008E086F" w:rsidP="00D76DD8">
            <w:pPr>
              <w:pStyle w:val="Tablesmalltext"/>
              <w:rPr>
                <w:b/>
                <w:szCs w:val="16"/>
              </w:rPr>
            </w:pPr>
            <w:r>
              <w:rPr>
                <w:b/>
                <w:szCs w:val="16"/>
              </w:rPr>
              <w:t xml:space="preserve">25 ML/d </w:t>
            </w:r>
          </w:p>
        </w:tc>
      </w:tr>
      <w:tr w:rsidR="00D76DD8" w:rsidRPr="00794C71" w14:paraId="51A1B509" w14:textId="77777777" w:rsidTr="00A30914">
        <w:trPr>
          <w:trHeight w:val="433"/>
        </w:trPr>
        <w:tc>
          <w:tcPr>
            <w:tcW w:w="1129" w:type="dxa"/>
            <w:vMerge/>
            <w:tcMar>
              <w:left w:w="34" w:type="dxa"/>
              <w:right w:w="34" w:type="dxa"/>
            </w:tcMar>
          </w:tcPr>
          <w:p w14:paraId="358BED0E" w14:textId="77777777" w:rsidR="00D76DD8" w:rsidRPr="00D76DD8" w:rsidRDefault="00D76DD8" w:rsidP="00D76DD8">
            <w:pPr>
              <w:pStyle w:val="Tablesmalltext"/>
              <w:rPr>
                <w:b/>
                <w:szCs w:val="16"/>
              </w:rPr>
            </w:pPr>
          </w:p>
        </w:tc>
        <w:tc>
          <w:tcPr>
            <w:tcW w:w="2694" w:type="dxa"/>
            <w:vMerge/>
            <w:tcMar>
              <w:left w:w="34" w:type="dxa"/>
              <w:right w:w="34" w:type="dxa"/>
            </w:tcMar>
          </w:tcPr>
          <w:p w14:paraId="5411F66B" w14:textId="77777777" w:rsidR="00D76DD8" w:rsidRPr="00794C71" w:rsidRDefault="00D76DD8" w:rsidP="00D76DD8">
            <w:pPr>
              <w:pStyle w:val="Tablesmalltext"/>
              <w:rPr>
                <w:szCs w:val="16"/>
              </w:rPr>
            </w:pPr>
          </w:p>
        </w:tc>
        <w:tc>
          <w:tcPr>
            <w:tcW w:w="4252" w:type="dxa"/>
            <w:vMerge/>
            <w:tcMar>
              <w:left w:w="34" w:type="dxa"/>
              <w:right w:w="34" w:type="dxa"/>
            </w:tcMar>
          </w:tcPr>
          <w:p w14:paraId="502759E3" w14:textId="77777777" w:rsidR="00D76DD8" w:rsidRPr="00794C71" w:rsidRDefault="00D76DD8" w:rsidP="00D76DD8">
            <w:pPr>
              <w:pStyle w:val="Tablesmalltext"/>
              <w:rPr>
                <w:szCs w:val="16"/>
              </w:rPr>
            </w:pPr>
          </w:p>
        </w:tc>
        <w:tc>
          <w:tcPr>
            <w:tcW w:w="2126" w:type="dxa"/>
            <w:tcMar>
              <w:left w:w="34" w:type="dxa"/>
              <w:right w:w="34" w:type="dxa"/>
            </w:tcMar>
          </w:tcPr>
          <w:p w14:paraId="10B02C57" w14:textId="37B0C581" w:rsidR="00D76DD8" w:rsidRPr="00794C71" w:rsidRDefault="008E086F" w:rsidP="00D76DD8">
            <w:pPr>
              <w:pStyle w:val="Tablesmalltext"/>
              <w:rPr>
                <w:szCs w:val="16"/>
              </w:rPr>
            </w:pPr>
            <w:r>
              <w:rPr>
                <w:b/>
                <w:szCs w:val="16"/>
              </w:rPr>
              <w:t xml:space="preserve">30 ML/d </w:t>
            </w:r>
          </w:p>
        </w:tc>
      </w:tr>
      <w:tr w:rsidR="00D76DD8" w:rsidRPr="00790B50" w14:paraId="0FB39C80" w14:textId="77777777" w:rsidTr="00A30914">
        <w:trPr>
          <w:trHeight w:val="432"/>
        </w:trPr>
        <w:tc>
          <w:tcPr>
            <w:tcW w:w="1129" w:type="dxa"/>
            <w:vMerge/>
            <w:tcMar>
              <w:left w:w="34" w:type="dxa"/>
              <w:right w:w="34" w:type="dxa"/>
            </w:tcMar>
          </w:tcPr>
          <w:p w14:paraId="43AAF349" w14:textId="77777777" w:rsidR="00D76DD8" w:rsidRPr="00D76DD8" w:rsidRDefault="00D76DD8" w:rsidP="00D76DD8">
            <w:pPr>
              <w:pStyle w:val="Tablesmalltext"/>
              <w:rPr>
                <w:b/>
                <w:szCs w:val="16"/>
              </w:rPr>
            </w:pPr>
          </w:p>
        </w:tc>
        <w:tc>
          <w:tcPr>
            <w:tcW w:w="2694" w:type="dxa"/>
            <w:vMerge/>
            <w:tcMar>
              <w:left w:w="34" w:type="dxa"/>
              <w:right w:w="34" w:type="dxa"/>
            </w:tcMar>
          </w:tcPr>
          <w:p w14:paraId="10440945" w14:textId="77777777" w:rsidR="00D76DD8" w:rsidRPr="00794C71" w:rsidRDefault="00D76DD8" w:rsidP="00D76DD8">
            <w:pPr>
              <w:pStyle w:val="Tablesmalltext"/>
              <w:rPr>
                <w:szCs w:val="16"/>
              </w:rPr>
            </w:pPr>
          </w:p>
        </w:tc>
        <w:tc>
          <w:tcPr>
            <w:tcW w:w="4252" w:type="dxa"/>
            <w:vMerge/>
            <w:tcMar>
              <w:left w:w="34" w:type="dxa"/>
              <w:right w:w="34" w:type="dxa"/>
            </w:tcMar>
          </w:tcPr>
          <w:p w14:paraId="1D245610" w14:textId="77777777" w:rsidR="00D76DD8" w:rsidRPr="00794C71" w:rsidRDefault="00D76DD8" w:rsidP="00D76DD8">
            <w:pPr>
              <w:pStyle w:val="Tablesmalltext"/>
              <w:rPr>
                <w:szCs w:val="16"/>
              </w:rPr>
            </w:pPr>
          </w:p>
        </w:tc>
        <w:tc>
          <w:tcPr>
            <w:tcW w:w="2126" w:type="dxa"/>
            <w:tcMar>
              <w:left w:w="34" w:type="dxa"/>
              <w:right w:w="34" w:type="dxa"/>
            </w:tcMar>
          </w:tcPr>
          <w:p w14:paraId="16066DEB" w14:textId="1395B225" w:rsidR="00D76DD8" w:rsidRPr="00790B50" w:rsidRDefault="008E086F" w:rsidP="00D76DD8">
            <w:pPr>
              <w:pStyle w:val="Tablesmalltext"/>
              <w:rPr>
                <w:b/>
                <w:szCs w:val="16"/>
              </w:rPr>
            </w:pPr>
            <w:r>
              <w:rPr>
                <w:b/>
                <w:szCs w:val="16"/>
              </w:rPr>
              <w:t>40 ML/d</w:t>
            </w:r>
          </w:p>
        </w:tc>
      </w:tr>
      <w:tr w:rsidR="00D76DD8" w:rsidRPr="00790B50" w14:paraId="59D7310C" w14:textId="77777777" w:rsidTr="00A30914">
        <w:trPr>
          <w:trHeight w:val="433"/>
        </w:trPr>
        <w:tc>
          <w:tcPr>
            <w:tcW w:w="1129" w:type="dxa"/>
            <w:vMerge/>
            <w:tcMar>
              <w:left w:w="34" w:type="dxa"/>
              <w:right w:w="34" w:type="dxa"/>
            </w:tcMar>
          </w:tcPr>
          <w:p w14:paraId="7887A2F4" w14:textId="77777777" w:rsidR="00D76DD8" w:rsidRPr="00D76DD8" w:rsidRDefault="00D76DD8" w:rsidP="00D76DD8">
            <w:pPr>
              <w:pStyle w:val="Tablesmalltext"/>
              <w:rPr>
                <w:b/>
                <w:szCs w:val="16"/>
              </w:rPr>
            </w:pPr>
          </w:p>
        </w:tc>
        <w:tc>
          <w:tcPr>
            <w:tcW w:w="2694" w:type="dxa"/>
            <w:vMerge/>
            <w:tcMar>
              <w:left w:w="34" w:type="dxa"/>
              <w:right w:w="34" w:type="dxa"/>
            </w:tcMar>
          </w:tcPr>
          <w:p w14:paraId="06835D49" w14:textId="77777777" w:rsidR="00D76DD8" w:rsidRPr="00794C71" w:rsidRDefault="00D76DD8" w:rsidP="00D76DD8">
            <w:pPr>
              <w:pStyle w:val="Tablesmalltext"/>
              <w:rPr>
                <w:szCs w:val="16"/>
              </w:rPr>
            </w:pPr>
          </w:p>
        </w:tc>
        <w:tc>
          <w:tcPr>
            <w:tcW w:w="4252" w:type="dxa"/>
            <w:vMerge/>
            <w:tcMar>
              <w:left w:w="34" w:type="dxa"/>
              <w:right w:w="34" w:type="dxa"/>
            </w:tcMar>
          </w:tcPr>
          <w:p w14:paraId="789E69B2" w14:textId="77777777" w:rsidR="00D76DD8" w:rsidRPr="00794C71" w:rsidRDefault="00D76DD8" w:rsidP="00D76DD8">
            <w:pPr>
              <w:pStyle w:val="Tablesmalltext"/>
              <w:rPr>
                <w:szCs w:val="16"/>
              </w:rPr>
            </w:pPr>
          </w:p>
        </w:tc>
        <w:tc>
          <w:tcPr>
            <w:tcW w:w="2126" w:type="dxa"/>
            <w:tcMar>
              <w:left w:w="34" w:type="dxa"/>
              <w:right w:w="34" w:type="dxa"/>
            </w:tcMar>
          </w:tcPr>
          <w:p w14:paraId="7049C9FF" w14:textId="06C862A4" w:rsidR="00D76DD8" w:rsidRPr="00790B50" w:rsidRDefault="008E086F" w:rsidP="00D76DD8">
            <w:pPr>
              <w:pStyle w:val="Tablesmalltext"/>
              <w:rPr>
                <w:b/>
                <w:szCs w:val="16"/>
              </w:rPr>
            </w:pPr>
            <w:r w:rsidRPr="00097408">
              <w:rPr>
                <w:b/>
                <w:szCs w:val="16"/>
              </w:rPr>
              <w:t>75 ML/d</w:t>
            </w:r>
          </w:p>
        </w:tc>
      </w:tr>
      <w:tr w:rsidR="00D76DD8" w:rsidRPr="00794C71" w14:paraId="29CD73E4" w14:textId="77777777" w:rsidTr="00A30914">
        <w:tc>
          <w:tcPr>
            <w:tcW w:w="1129" w:type="dxa"/>
            <w:tcMar>
              <w:left w:w="34" w:type="dxa"/>
              <w:right w:w="34" w:type="dxa"/>
            </w:tcMar>
          </w:tcPr>
          <w:p w14:paraId="2F818B7A" w14:textId="77777777" w:rsidR="00D76DD8" w:rsidRPr="00D76DD8" w:rsidRDefault="00D76DD8" w:rsidP="00D76DD8">
            <w:pPr>
              <w:pStyle w:val="Tablesmalltext"/>
              <w:rPr>
                <w:b/>
                <w:szCs w:val="16"/>
              </w:rPr>
            </w:pPr>
            <w:r w:rsidRPr="00D76DD8">
              <w:rPr>
                <w:b/>
                <w:szCs w:val="16"/>
              </w:rPr>
              <w:t>Winter low flows (June-November)</w:t>
            </w:r>
          </w:p>
        </w:tc>
        <w:tc>
          <w:tcPr>
            <w:tcW w:w="2694" w:type="dxa"/>
            <w:tcMar>
              <w:left w:w="34" w:type="dxa"/>
              <w:right w:w="34" w:type="dxa"/>
            </w:tcMar>
          </w:tcPr>
          <w:p w14:paraId="17D0934D" w14:textId="50CBFFB3" w:rsidR="00D76DD8" w:rsidRPr="00794C71" w:rsidRDefault="00D76DD8" w:rsidP="00D76DD8">
            <w:pPr>
              <w:pStyle w:val="Tablesmalltext"/>
              <w:rPr>
                <w:szCs w:val="16"/>
              </w:rPr>
            </w:pPr>
            <w:r w:rsidRPr="00794C71">
              <w:rPr>
                <w:szCs w:val="16"/>
              </w:rPr>
              <w:t>Magnitude</w:t>
            </w:r>
            <w:r>
              <w:rPr>
                <w:szCs w:val="16"/>
              </w:rPr>
              <w:t xml:space="preserve"> (% of time above specific magnitudes)</w:t>
            </w:r>
            <w:r w:rsidR="008E086F">
              <w:rPr>
                <w:szCs w:val="16"/>
              </w:rPr>
              <w:t xml:space="preserve">. Sufficient to maintain access to riffle and pool habitats and movement through fishways- winter low flow is typically higher than summer low flows. </w:t>
            </w:r>
          </w:p>
        </w:tc>
        <w:tc>
          <w:tcPr>
            <w:tcW w:w="4252" w:type="dxa"/>
            <w:tcMar>
              <w:left w:w="34" w:type="dxa"/>
              <w:right w:w="34" w:type="dxa"/>
            </w:tcMar>
          </w:tcPr>
          <w:p w14:paraId="37AFAB7E" w14:textId="469828B2" w:rsidR="00D76DD8" w:rsidRPr="00794C71" w:rsidRDefault="008E086F" w:rsidP="00D76DD8">
            <w:pPr>
              <w:pStyle w:val="Tablesmalltext"/>
              <w:rPr>
                <w:szCs w:val="16"/>
              </w:rPr>
            </w:pPr>
            <w:r>
              <w:rPr>
                <w:szCs w:val="16"/>
              </w:rPr>
              <w:t>Hec Ras modelling identified 30 ML/d is s</w:t>
            </w:r>
            <w:r w:rsidR="00D76DD8" w:rsidRPr="00794C71">
              <w:rPr>
                <w:szCs w:val="16"/>
              </w:rPr>
              <w:t xml:space="preserve">ufficient to maintain </w:t>
            </w:r>
            <w:r>
              <w:rPr>
                <w:szCs w:val="16"/>
              </w:rPr>
              <w:t xml:space="preserve">a </w:t>
            </w:r>
            <w:r w:rsidR="00D76DD8" w:rsidRPr="00794C71">
              <w:rPr>
                <w:szCs w:val="16"/>
              </w:rPr>
              <w:t xml:space="preserve">depth </w:t>
            </w:r>
            <w:r>
              <w:rPr>
                <w:szCs w:val="16"/>
              </w:rPr>
              <w:t xml:space="preserve">of </w:t>
            </w:r>
            <w:r w:rsidR="00D76DD8">
              <w:rPr>
                <w:szCs w:val="16"/>
              </w:rPr>
              <w:t xml:space="preserve">40 cm over 80% of cross sections in reach </w:t>
            </w:r>
            <w:r>
              <w:rPr>
                <w:szCs w:val="16"/>
              </w:rPr>
              <w:t xml:space="preserve">1 and </w:t>
            </w:r>
            <w:r w:rsidR="00D76DD8">
              <w:rPr>
                <w:szCs w:val="16"/>
              </w:rPr>
              <w:t>50% of cross sections in reach 2</w:t>
            </w:r>
            <w:r>
              <w:rPr>
                <w:szCs w:val="16"/>
              </w:rPr>
              <w:t>.</w:t>
            </w:r>
          </w:p>
        </w:tc>
        <w:tc>
          <w:tcPr>
            <w:tcW w:w="2126" w:type="dxa"/>
            <w:tcMar>
              <w:left w:w="34" w:type="dxa"/>
              <w:right w:w="34" w:type="dxa"/>
            </w:tcMar>
          </w:tcPr>
          <w:p w14:paraId="6952D54A" w14:textId="77777777" w:rsidR="00D76DD8" w:rsidRPr="00794C71" w:rsidRDefault="00D76DD8" w:rsidP="00D76DD8">
            <w:pPr>
              <w:pStyle w:val="Tablesmalltext"/>
              <w:rPr>
                <w:szCs w:val="16"/>
              </w:rPr>
            </w:pPr>
            <w:r w:rsidRPr="00790B50">
              <w:rPr>
                <w:b/>
                <w:szCs w:val="16"/>
              </w:rPr>
              <w:t>30 ML/d</w:t>
            </w:r>
            <w:r>
              <w:rPr>
                <w:szCs w:val="16"/>
              </w:rPr>
              <w:t xml:space="preserve"> </w:t>
            </w:r>
          </w:p>
        </w:tc>
      </w:tr>
      <w:tr w:rsidR="00D76DD8" w:rsidRPr="00097408" w14:paraId="315C799E" w14:textId="77777777" w:rsidTr="00A30914">
        <w:trPr>
          <w:trHeight w:val="358"/>
        </w:trPr>
        <w:tc>
          <w:tcPr>
            <w:tcW w:w="1129" w:type="dxa"/>
            <w:vMerge w:val="restart"/>
            <w:tcMar>
              <w:left w:w="34" w:type="dxa"/>
              <w:right w:w="34" w:type="dxa"/>
            </w:tcMar>
          </w:tcPr>
          <w:p w14:paraId="49E3BCE8" w14:textId="77777777" w:rsidR="00D76DD8" w:rsidRPr="00D76DD8" w:rsidRDefault="00D76DD8" w:rsidP="00D76DD8">
            <w:pPr>
              <w:pStyle w:val="Tablesmalltext"/>
              <w:rPr>
                <w:b/>
                <w:szCs w:val="16"/>
              </w:rPr>
            </w:pPr>
            <w:r w:rsidRPr="00D76DD8">
              <w:rPr>
                <w:b/>
                <w:szCs w:val="16"/>
              </w:rPr>
              <w:t>Winter / spring High flows (Sep-Dec)</w:t>
            </w:r>
          </w:p>
        </w:tc>
        <w:tc>
          <w:tcPr>
            <w:tcW w:w="2694" w:type="dxa"/>
            <w:vMerge w:val="restart"/>
            <w:tcMar>
              <w:left w:w="34" w:type="dxa"/>
              <w:right w:w="34" w:type="dxa"/>
            </w:tcMar>
          </w:tcPr>
          <w:p w14:paraId="40D2EA45" w14:textId="7335E739" w:rsidR="00D76DD8" w:rsidRPr="00794C71" w:rsidRDefault="00D76DD8" w:rsidP="00D76DD8">
            <w:pPr>
              <w:pStyle w:val="Tablesmalltext"/>
              <w:rPr>
                <w:szCs w:val="16"/>
              </w:rPr>
            </w:pPr>
            <w:r>
              <w:rPr>
                <w:szCs w:val="16"/>
              </w:rPr>
              <w:t xml:space="preserve">High flows </w:t>
            </w:r>
            <w:r w:rsidRPr="00794C71">
              <w:rPr>
                <w:szCs w:val="16"/>
              </w:rPr>
              <w:t>September-</w:t>
            </w:r>
            <w:r>
              <w:rPr>
                <w:szCs w:val="16"/>
              </w:rPr>
              <w:t>December</w:t>
            </w:r>
            <w:r w:rsidRPr="00794C71">
              <w:rPr>
                <w:szCs w:val="16"/>
              </w:rPr>
              <w:t xml:space="preserve"> to facilitate juvenile migration from marine environment</w:t>
            </w:r>
            <w:r w:rsidR="008E086F">
              <w:rPr>
                <w:szCs w:val="16"/>
              </w:rPr>
              <w:t>.  Flow needs to be sufficient to provide fish passage.</w:t>
            </w:r>
          </w:p>
        </w:tc>
        <w:tc>
          <w:tcPr>
            <w:tcW w:w="4252" w:type="dxa"/>
            <w:vMerge w:val="restart"/>
            <w:tcMar>
              <w:left w:w="34" w:type="dxa"/>
              <w:right w:w="34" w:type="dxa"/>
            </w:tcMar>
          </w:tcPr>
          <w:p w14:paraId="16F515FF" w14:textId="3256178A" w:rsidR="00D76DD8" w:rsidRPr="00794C71" w:rsidRDefault="00A30914" w:rsidP="00A30914">
            <w:pPr>
              <w:pStyle w:val="Tablesmalltext"/>
              <w:rPr>
                <w:szCs w:val="16"/>
              </w:rPr>
            </w:pPr>
            <w:r>
              <w:rPr>
                <w:szCs w:val="16"/>
              </w:rPr>
              <w:t>E</w:t>
            </w:r>
            <w:r w:rsidR="00D76DD8">
              <w:rPr>
                <w:szCs w:val="16"/>
              </w:rPr>
              <w:t xml:space="preserve">vent magnitudes </w:t>
            </w:r>
            <w:r>
              <w:rPr>
                <w:szCs w:val="16"/>
              </w:rPr>
              <w:t>(</w:t>
            </w:r>
            <w:r w:rsidR="008E086F">
              <w:rPr>
                <w:szCs w:val="16"/>
              </w:rPr>
              <w:t>within the operational range of fishways and higher than the low flow thresholds</w:t>
            </w:r>
            <w:r>
              <w:rPr>
                <w:szCs w:val="16"/>
              </w:rPr>
              <w:t xml:space="preserve">) and </w:t>
            </w:r>
            <w:r w:rsidR="00D76DD8">
              <w:rPr>
                <w:szCs w:val="16"/>
              </w:rPr>
              <w:t xml:space="preserve">the duration and number of events </w:t>
            </w:r>
            <w:r>
              <w:rPr>
                <w:szCs w:val="16"/>
              </w:rPr>
              <w:t>p</w:t>
            </w:r>
            <w:r w:rsidR="00D76DD8">
              <w:rPr>
                <w:szCs w:val="16"/>
              </w:rPr>
              <w:t>er season are compared between current and developed conditions</w:t>
            </w:r>
            <w:r w:rsidR="008E086F">
              <w:rPr>
                <w:szCs w:val="16"/>
              </w:rPr>
              <w:t>.</w:t>
            </w:r>
          </w:p>
        </w:tc>
        <w:tc>
          <w:tcPr>
            <w:tcW w:w="2126" w:type="dxa"/>
            <w:tcMar>
              <w:left w:w="34" w:type="dxa"/>
              <w:right w:w="34" w:type="dxa"/>
            </w:tcMar>
          </w:tcPr>
          <w:p w14:paraId="5359A6AF" w14:textId="77777777" w:rsidR="00D76DD8" w:rsidRPr="00097408" w:rsidRDefault="00D76DD8" w:rsidP="00D76DD8">
            <w:pPr>
              <w:pStyle w:val="Tablesmalltext"/>
              <w:rPr>
                <w:b/>
                <w:szCs w:val="16"/>
              </w:rPr>
            </w:pPr>
            <w:r w:rsidRPr="00097408">
              <w:rPr>
                <w:b/>
                <w:szCs w:val="16"/>
              </w:rPr>
              <w:t>75 ML/d</w:t>
            </w:r>
          </w:p>
        </w:tc>
      </w:tr>
      <w:tr w:rsidR="00D76DD8" w:rsidRPr="00097408" w14:paraId="607E66EB" w14:textId="77777777" w:rsidTr="00A30914">
        <w:trPr>
          <w:trHeight w:val="358"/>
        </w:trPr>
        <w:tc>
          <w:tcPr>
            <w:tcW w:w="1129" w:type="dxa"/>
            <w:vMerge/>
            <w:tcMar>
              <w:left w:w="34" w:type="dxa"/>
              <w:right w:w="34" w:type="dxa"/>
            </w:tcMar>
          </w:tcPr>
          <w:p w14:paraId="43B26768" w14:textId="77777777" w:rsidR="00D76DD8" w:rsidRPr="00794C71" w:rsidRDefault="00D76DD8" w:rsidP="00D76DD8">
            <w:pPr>
              <w:pStyle w:val="Tablesmalltext"/>
              <w:rPr>
                <w:szCs w:val="16"/>
              </w:rPr>
            </w:pPr>
          </w:p>
        </w:tc>
        <w:tc>
          <w:tcPr>
            <w:tcW w:w="2694" w:type="dxa"/>
            <w:vMerge/>
            <w:tcMar>
              <w:left w:w="34" w:type="dxa"/>
              <w:right w:w="34" w:type="dxa"/>
            </w:tcMar>
          </w:tcPr>
          <w:p w14:paraId="2E35E5C9" w14:textId="77777777" w:rsidR="00D76DD8" w:rsidRPr="00794C71" w:rsidRDefault="00D76DD8" w:rsidP="00D76DD8">
            <w:pPr>
              <w:pStyle w:val="Tablesmalltext"/>
              <w:rPr>
                <w:szCs w:val="16"/>
              </w:rPr>
            </w:pPr>
          </w:p>
        </w:tc>
        <w:tc>
          <w:tcPr>
            <w:tcW w:w="4252" w:type="dxa"/>
            <w:vMerge/>
            <w:tcMar>
              <w:left w:w="34" w:type="dxa"/>
              <w:right w:w="34" w:type="dxa"/>
            </w:tcMar>
          </w:tcPr>
          <w:p w14:paraId="64BD2429" w14:textId="77777777" w:rsidR="00D76DD8" w:rsidRPr="00794C71" w:rsidRDefault="00D76DD8" w:rsidP="00D76DD8">
            <w:pPr>
              <w:pStyle w:val="Tablesmalltext"/>
              <w:rPr>
                <w:szCs w:val="16"/>
              </w:rPr>
            </w:pPr>
          </w:p>
        </w:tc>
        <w:tc>
          <w:tcPr>
            <w:tcW w:w="2126" w:type="dxa"/>
            <w:tcMar>
              <w:left w:w="34" w:type="dxa"/>
              <w:right w:w="34" w:type="dxa"/>
            </w:tcMar>
          </w:tcPr>
          <w:p w14:paraId="4721386C" w14:textId="77777777" w:rsidR="00D76DD8" w:rsidRPr="00097408" w:rsidRDefault="00D76DD8" w:rsidP="00D76DD8">
            <w:pPr>
              <w:pStyle w:val="Tablesmalltext"/>
              <w:rPr>
                <w:b/>
                <w:szCs w:val="16"/>
              </w:rPr>
            </w:pPr>
            <w:r w:rsidRPr="00097408">
              <w:rPr>
                <w:b/>
                <w:szCs w:val="16"/>
              </w:rPr>
              <w:t>150 ML/d</w:t>
            </w:r>
          </w:p>
        </w:tc>
      </w:tr>
      <w:tr w:rsidR="00D76DD8" w:rsidRPr="00097408" w14:paraId="4CFE9430" w14:textId="77777777" w:rsidTr="00A30914">
        <w:trPr>
          <w:trHeight w:val="358"/>
        </w:trPr>
        <w:tc>
          <w:tcPr>
            <w:tcW w:w="1129" w:type="dxa"/>
            <w:vMerge/>
            <w:tcMar>
              <w:left w:w="34" w:type="dxa"/>
              <w:right w:w="34" w:type="dxa"/>
            </w:tcMar>
          </w:tcPr>
          <w:p w14:paraId="6C3F1D7C" w14:textId="77777777" w:rsidR="00D76DD8" w:rsidRPr="00794C71" w:rsidRDefault="00D76DD8" w:rsidP="00D76DD8">
            <w:pPr>
              <w:pStyle w:val="Tablesmalltext"/>
              <w:rPr>
                <w:szCs w:val="16"/>
              </w:rPr>
            </w:pPr>
          </w:p>
        </w:tc>
        <w:tc>
          <w:tcPr>
            <w:tcW w:w="2694" w:type="dxa"/>
            <w:vMerge/>
            <w:tcMar>
              <w:left w:w="34" w:type="dxa"/>
              <w:right w:w="34" w:type="dxa"/>
            </w:tcMar>
          </w:tcPr>
          <w:p w14:paraId="4C5B0F43" w14:textId="77777777" w:rsidR="00D76DD8" w:rsidRPr="00794C71" w:rsidRDefault="00D76DD8" w:rsidP="00D76DD8">
            <w:pPr>
              <w:pStyle w:val="Tablesmalltext"/>
              <w:rPr>
                <w:szCs w:val="16"/>
              </w:rPr>
            </w:pPr>
          </w:p>
        </w:tc>
        <w:tc>
          <w:tcPr>
            <w:tcW w:w="4252" w:type="dxa"/>
            <w:vMerge/>
            <w:tcMar>
              <w:left w:w="34" w:type="dxa"/>
              <w:right w:w="34" w:type="dxa"/>
            </w:tcMar>
          </w:tcPr>
          <w:p w14:paraId="5C6568DC" w14:textId="77777777" w:rsidR="00D76DD8" w:rsidRPr="00794C71" w:rsidRDefault="00D76DD8" w:rsidP="00D76DD8">
            <w:pPr>
              <w:pStyle w:val="Tablesmalltext"/>
              <w:rPr>
                <w:szCs w:val="16"/>
              </w:rPr>
            </w:pPr>
          </w:p>
        </w:tc>
        <w:tc>
          <w:tcPr>
            <w:tcW w:w="2126" w:type="dxa"/>
            <w:tcMar>
              <w:left w:w="34" w:type="dxa"/>
              <w:right w:w="34" w:type="dxa"/>
            </w:tcMar>
          </w:tcPr>
          <w:p w14:paraId="3974B2DD" w14:textId="77777777" w:rsidR="00D76DD8" w:rsidRPr="00097408" w:rsidRDefault="00D76DD8" w:rsidP="00D76DD8">
            <w:pPr>
              <w:pStyle w:val="Tablesmalltext"/>
              <w:rPr>
                <w:b/>
                <w:szCs w:val="16"/>
              </w:rPr>
            </w:pPr>
            <w:r w:rsidRPr="00097408">
              <w:rPr>
                <w:b/>
                <w:szCs w:val="16"/>
              </w:rPr>
              <w:t>250 ML/d</w:t>
            </w:r>
          </w:p>
        </w:tc>
      </w:tr>
    </w:tbl>
    <w:p w14:paraId="067EFA9D" w14:textId="77777777" w:rsidR="0083479B" w:rsidRPr="00AC1C56" w:rsidRDefault="0083479B" w:rsidP="00AC1C56">
      <w:pPr>
        <w:pStyle w:val="Para0"/>
      </w:pPr>
      <w:r>
        <w:t xml:space="preserve">For both species, hydraulic conditions are also important.  Flows that result in excessive velocity or shear stress that scour </w:t>
      </w:r>
      <w:r w:rsidRPr="00E113B8">
        <w:t>habitats, particularly instream vegetation, result in habitat degradation that will impact both species.</w:t>
      </w:r>
      <w:r w:rsidRPr="00E113B8">
        <w:rPr>
          <w:lang w:val="en-AU"/>
        </w:rPr>
        <w:t xml:space="preserve"> Urban development, for example, is known to increase the frequency of high disturbance events and increase the variation </w:t>
      </w:r>
      <w:r w:rsidRPr="00AC1C56">
        <w:t xml:space="preserve">between minimum and maximum flows on any one day </w:t>
      </w:r>
      <w:r w:rsidRPr="00AC1C56">
        <w:fldChar w:fldCharType="begin"/>
      </w:r>
      <w:r w:rsidRPr="00AC1C56">
        <w:instrText xml:space="preserve"> ADDIN EN.CITE &lt;EndNote&gt;&lt;Cite&gt;&lt;Author&gt;Treadwell&lt;/Author&gt;&lt;Year&gt;2017&lt;/Year&gt;&lt;RecNum&gt;3702&lt;/RecNum&gt;&lt;DisplayText&gt;(Treadwell and Sandercock, 2017)&lt;/DisplayText&gt;&lt;record&gt;&lt;rec-number&gt;3702&lt;/rec-number&gt;&lt;foreign-keys&gt;&lt;key app="EN" db-id="d0s2errflvze20evzxyvr9xzwfwste2v9tf2" timestamp="1575848648"&gt;3702&lt;/key&gt;&lt;/foreign-keys&gt;&lt;ref-type name="Conference Proceedings"&gt;10&lt;/ref-type&gt;&lt;contributors&gt;&lt;authors&gt;&lt;author&gt;Treadwell, S, &lt;/author&gt;&lt;author&gt;Sandercock, P,&lt;/author&gt;&lt;/authors&gt;&lt;/contributors&gt;&lt;titles&gt;&lt;title&gt;Using science and hydraulics to inform stormwater management for improved river health outcomes: How much stream flow is too much?&lt;/title&gt;&lt;secondary-title&gt;2017 Victorian Stormwater Management Conference&lt;/secondary-title&gt;&lt;/titles&gt;&lt;dates&gt;&lt;year&gt;2017&lt;/year&gt;&lt;/dates&gt;&lt;pub-location&gt;Lorne, Victoria&lt;/pub-location&gt;&lt;urls&gt;&lt;/urls&gt;&lt;/record&gt;&lt;/Cite&gt;&lt;/EndNote&gt;</w:instrText>
      </w:r>
      <w:r w:rsidRPr="00AC1C56">
        <w:fldChar w:fldCharType="separate"/>
      </w:r>
      <w:r w:rsidRPr="00AC1C56">
        <w:t>(Treadwell and Sandercock, 2017)</w:t>
      </w:r>
      <w:r w:rsidRPr="00AC1C56">
        <w:fldChar w:fldCharType="end"/>
      </w:r>
      <w:r w:rsidRPr="00AC1C56">
        <w:t xml:space="preserve">.  High disturbance events are those that generate shear stress and velocities that scour bed and bank material, dislodge instream vegetation and prevent recovery.  Other ecologically important components of the flow regime that are </w:t>
      </w:r>
      <w:r w:rsidRPr="00AC1C56">
        <w:lastRenderedPageBreak/>
        <w:t xml:space="preserve">also known to be affected by urban development include changes in annual flows, zero flows, base flows, high flows, inter-daily variation, erosion thresholds and floodplain engagement flows </w:t>
      </w:r>
      <w:r w:rsidRPr="00AC1C56">
        <w:fldChar w:fldCharType="begin"/>
      </w:r>
      <w:r w:rsidRPr="00AC1C56">
        <w:instrText xml:space="preserve"> ADDIN EN.CITE &lt;EndNote&gt;&lt;Cite&gt;&lt;Author&gt;Duncan&lt;/Author&gt;&lt;Year&gt;2014&lt;/Year&gt;&lt;RecNum&gt;3703&lt;/RecNum&gt;&lt;DisplayText&gt;(Duncan&lt;style face="italic"&gt; et al.&lt;/style&gt;, 2014)&lt;/DisplayText&gt;&lt;record&gt;&lt;rec-number&gt;3703&lt;/rec-number&gt;&lt;foreign-keys&gt;&lt;key app="EN" db-id="d0s2errflvze20evzxyvr9xzwfwste2v9tf2" timestamp="1575848974"&gt;3703&lt;/key&gt;&lt;/foreign-keys&gt;&lt;ref-type name="Report"&gt;27&lt;/ref-type&gt;&lt;contributors&gt;&lt;authors&gt;&lt;author&gt;Duncan, H.P.&lt;/author&gt;&lt;author&gt;Fletcher, T.D. &lt;/author&gt;&lt;author&gt;Vietz, G. &lt;/author&gt;&lt;author&gt;Urrutiaguer, M.&lt;/author&gt;&lt;/authors&gt;&lt;/contributors&gt;&lt;titles&gt;&lt;title&gt;The feasibility of maintaining ecologically and geomorphically important elements of the natural flow regime in the context of a superabundance of flow&lt;/title&gt;&lt;/titles&gt;&lt;dates&gt;&lt;year&gt;2014&lt;/year&gt;&lt;/dates&gt;&lt;publisher&gt;Melbourne Waterway Research-Practice Partnership Technical Report. 14.5&lt;/publisher&gt;&lt;urls&gt;&lt;/urls&gt;&lt;/record&gt;&lt;/Cite&gt;&lt;/EndNote&gt;</w:instrText>
      </w:r>
      <w:r w:rsidRPr="00AC1C56">
        <w:fldChar w:fldCharType="separate"/>
      </w:r>
      <w:r w:rsidRPr="00AC1C56">
        <w:t>(Duncan et al., 2014)</w:t>
      </w:r>
      <w:r w:rsidRPr="00AC1C56">
        <w:fldChar w:fldCharType="end"/>
      </w:r>
      <w:r w:rsidRPr="00AC1C56">
        <w:t xml:space="preserve">.  </w:t>
      </w:r>
    </w:p>
    <w:p w14:paraId="5061153E" w14:textId="0A2BBF99" w:rsidR="0083479B" w:rsidRPr="00AC1C56" w:rsidRDefault="0083479B" w:rsidP="00AC1C56">
      <w:pPr>
        <w:pStyle w:val="Para0"/>
      </w:pPr>
      <w:r w:rsidRPr="00AC1C56">
        <w:t>Hydraulic modelling was also used to determine the specific flow magnitudes that relate to potential physical impacts on the creek and channel, including the flows required to mobilise bed sediment, and high flows with potential to cause erosion and scour. These broader metrics are relevant to general stream conditions and erosion risk, which are important for fish, but also important for broader impacts to other values</w:t>
      </w:r>
    </w:p>
    <w:p w14:paraId="3241D08E" w14:textId="45CD2262" w:rsidR="00BA089D" w:rsidRDefault="0083479B" w:rsidP="00AC1C56">
      <w:pPr>
        <w:pStyle w:val="Para0"/>
      </w:pPr>
      <w:r w:rsidRPr="00AC1C56">
        <w:fldChar w:fldCharType="begin"/>
      </w:r>
      <w:r w:rsidRPr="00AC1C56">
        <w:instrText xml:space="preserve"> REF _Ref26781071 \h </w:instrText>
      </w:r>
      <w:r w:rsidR="00AC1C56">
        <w:instrText xml:space="preserve"> \* MERGEFORMAT </w:instrText>
      </w:r>
      <w:r w:rsidRPr="00AC1C56">
        <w:fldChar w:fldCharType="separate"/>
      </w:r>
      <w:r w:rsidR="00BE5F47">
        <w:t>Table 4</w:t>
      </w:r>
      <w:r w:rsidR="00BE5F47">
        <w:noBreakHyphen/>
        <w:t>4</w:t>
      </w:r>
      <w:r w:rsidRPr="00AC1C56">
        <w:fldChar w:fldCharType="end"/>
      </w:r>
      <w:r w:rsidR="00BA089D" w:rsidRPr="00AC1C56">
        <w:t xml:space="preserve"> p</w:t>
      </w:r>
      <w:r w:rsidR="00BA089D" w:rsidRPr="007D30C7">
        <w:t xml:space="preserve">resents a range of flow metrics that are useful for assessing impacts of urbanisation on ecological conditions that are relevant to fish and other ecological values.  </w:t>
      </w:r>
      <w:r>
        <w:t xml:space="preserve">The values determined for each metric are </w:t>
      </w:r>
      <w:r w:rsidR="00504189">
        <w:t xml:space="preserve">described in the </w:t>
      </w:r>
      <w:r w:rsidR="00504189" w:rsidRPr="00504189">
        <w:rPr>
          <w:i/>
        </w:rPr>
        <w:t>Modelling outcome</w:t>
      </w:r>
      <w:r w:rsidR="00504189">
        <w:rPr>
          <w:i/>
        </w:rPr>
        <w:t>s</w:t>
      </w:r>
      <w:r w:rsidR="00504189" w:rsidRPr="00504189">
        <w:rPr>
          <w:i/>
        </w:rPr>
        <w:t xml:space="preserve"> report</w:t>
      </w:r>
      <w:r w:rsidR="00504189">
        <w:t xml:space="preserve"> (Jacobs 2020).</w:t>
      </w:r>
      <w:r w:rsidR="00042B88">
        <w:t xml:space="preserve"> </w:t>
      </w:r>
      <w:r w:rsidR="00BA089D" w:rsidRPr="007D30C7">
        <w:t xml:space="preserve">The magnitude of the difference in metrics between </w:t>
      </w:r>
      <w:r>
        <w:t xml:space="preserve">pre-development and post-development conditions helps to </w:t>
      </w:r>
      <w:r w:rsidR="00BA089D" w:rsidRPr="007D30C7">
        <w:t>define the level of risk that development in the 3 PSPs represents to the ecological conditions of the creek.</w:t>
      </w:r>
    </w:p>
    <w:p w14:paraId="21EA9328" w14:textId="1D455F0F" w:rsidR="00BA089D" w:rsidRDefault="00425457" w:rsidP="00BA089D">
      <w:pPr>
        <w:pStyle w:val="Caption"/>
      </w:pPr>
      <w:bookmarkStart w:id="63" w:name="_Ref26781071"/>
      <w:r>
        <w:t xml:space="preserve">Table </w:t>
      </w:r>
      <w:r w:rsidR="00E67EC2">
        <w:fldChar w:fldCharType="begin"/>
      </w:r>
      <w:r w:rsidR="00E67EC2">
        <w:instrText xml:space="preserve"> STYLEREF 1 \s </w:instrText>
      </w:r>
      <w:r w:rsidR="00E67EC2">
        <w:fldChar w:fldCharType="separate"/>
      </w:r>
      <w:r w:rsidR="00BE5F47">
        <w:rPr>
          <w:noProof/>
        </w:rPr>
        <w:t>4</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4</w:t>
      </w:r>
      <w:r w:rsidR="00E67EC2">
        <w:fldChar w:fldCharType="end"/>
      </w:r>
      <w:bookmarkEnd w:id="63"/>
      <w:r w:rsidR="00BA089D">
        <w:t xml:space="preserve">  </w:t>
      </w:r>
      <w:r w:rsidR="00BA089D" w:rsidRPr="005938E4">
        <w:t>Flow components for habitat quality – these flows are to maintain instream habitat conditions for fish and other values and to minimise habitat/channel degradation</w:t>
      </w:r>
      <w:r w:rsidR="00BA089D">
        <w:t xml:space="preserve"> </w:t>
      </w:r>
      <w:r w:rsidR="00BA089D">
        <w:fldChar w:fldCharType="begin"/>
      </w:r>
      <w:r w:rsidR="00BA089D">
        <w:instrText xml:space="preserve"> ADDIN EN.CITE &lt;EndNote&gt;&lt;Cite&gt;&lt;Author&gt;Duncan&lt;/Author&gt;&lt;Year&gt;2014&lt;/Year&gt;&lt;RecNum&gt;3703&lt;/RecNum&gt;&lt;Prefix&gt;adapted from &lt;/Prefix&gt;&lt;DisplayText&gt;(adapted from Duncan&lt;style face="italic"&gt; et al.&lt;/style&gt;, 2014)&lt;/DisplayText&gt;&lt;record&gt;&lt;rec-number&gt;3703&lt;/rec-number&gt;&lt;foreign-keys&gt;&lt;key app="EN" db-id="d0s2errflvze20evzxyvr9xzwfwste2v9tf2" timestamp="1575848974"&gt;3703&lt;/key&gt;&lt;/foreign-keys&gt;&lt;ref-type name="Report"&gt;27&lt;/ref-type&gt;&lt;contributors&gt;&lt;authors&gt;&lt;author&gt;Duncan, H.P.&lt;/author&gt;&lt;author&gt;Fletcher, T.D. &lt;/author&gt;&lt;author&gt;Vietz, G. &lt;/author&gt;&lt;author&gt;Urrutiaguer, M.&lt;/author&gt;&lt;/authors&gt;&lt;/contributors&gt;&lt;titles&gt;&lt;title&gt;The feasibility of maintaining ecologically and geomorphically important elements of the natural flow regime in the context of a superabundance of flow&lt;/title&gt;&lt;/titles&gt;&lt;dates&gt;&lt;year&gt;2014&lt;/year&gt;&lt;/dates&gt;&lt;publisher&gt;Melbourne Waterway Research-Practice Partnership Technical Report. 14.5&lt;/publisher&gt;&lt;urls&gt;&lt;/urls&gt;&lt;/record&gt;&lt;/Cite&gt;&lt;/EndNote&gt;</w:instrText>
      </w:r>
      <w:r w:rsidR="00BA089D">
        <w:fldChar w:fldCharType="separate"/>
      </w:r>
      <w:r w:rsidR="00BA089D">
        <w:rPr>
          <w:noProof/>
        </w:rPr>
        <w:t>(adapted from Duncan</w:t>
      </w:r>
      <w:r w:rsidR="00BA089D" w:rsidRPr="009210C3">
        <w:rPr>
          <w:i/>
          <w:noProof/>
        </w:rPr>
        <w:t xml:space="preserve"> et al.</w:t>
      </w:r>
      <w:r w:rsidR="00BA089D">
        <w:rPr>
          <w:noProof/>
        </w:rPr>
        <w:t>, 2014)</w:t>
      </w:r>
      <w:r w:rsidR="00BA089D">
        <w:fldChar w:fldCharType="end"/>
      </w:r>
    </w:p>
    <w:tbl>
      <w:tblPr>
        <w:tblStyle w:val="TableGrid"/>
        <w:tblW w:w="10264" w:type="dxa"/>
        <w:tblLayout w:type="fixed"/>
        <w:tblLook w:val="04A0" w:firstRow="1" w:lastRow="0" w:firstColumn="1" w:lastColumn="0" w:noHBand="0" w:noVBand="1"/>
      </w:tblPr>
      <w:tblGrid>
        <w:gridCol w:w="1430"/>
        <w:gridCol w:w="5086"/>
        <w:gridCol w:w="3748"/>
      </w:tblGrid>
      <w:tr w:rsidR="00452036" w:rsidRPr="00F332A8" w14:paraId="0689E3B1" w14:textId="77777777" w:rsidTr="00F332A8">
        <w:trPr>
          <w:trHeight w:val="411"/>
        </w:trPr>
        <w:tc>
          <w:tcPr>
            <w:tcW w:w="1430" w:type="dxa"/>
          </w:tcPr>
          <w:p w14:paraId="26FAE9E5" w14:textId="77777777" w:rsidR="00452036" w:rsidRPr="00626147" w:rsidRDefault="00452036" w:rsidP="00F332A8">
            <w:pPr>
              <w:pStyle w:val="Tablesmalltext"/>
              <w:rPr>
                <w:b/>
              </w:rPr>
            </w:pPr>
            <w:r w:rsidRPr="00626147">
              <w:rPr>
                <w:b/>
              </w:rPr>
              <w:t>Component</w:t>
            </w:r>
          </w:p>
        </w:tc>
        <w:tc>
          <w:tcPr>
            <w:tcW w:w="5086" w:type="dxa"/>
          </w:tcPr>
          <w:p w14:paraId="02EBB2E3" w14:textId="77777777" w:rsidR="00452036" w:rsidRPr="00F332A8" w:rsidRDefault="00452036" w:rsidP="00F332A8">
            <w:pPr>
              <w:pStyle w:val="Tablesmalltext"/>
              <w:rPr>
                <w:b/>
              </w:rPr>
            </w:pPr>
            <w:r w:rsidRPr="00F332A8">
              <w:rPr>
                <w:b/>
              </w:rPr>
              <w:t>Function / effect</w:t>
            </w:r>
          </w:p>
        </w:tc>
        <w:tc>
          <w:tcPr>
            <w:tcW w:w="3748" w:type="dxa"/>
          </w:tcPr>
          <w:p w14:paraId="273A66E3" w14:textId="77777777" w:rsidR="00452036" w:rsidRPr="00F332A8" w:rsidRDefault="00452036" w:rsidP="00F332A8">
            <w:pPr>
              <w:pStyle w:val="Tablesmalltext"/>
              <w:rPr>
                <w:b/>
              </w:rPr>
            </w:pPr>
            <w:r w:rsidRPr="00F332A8">
              <w:rPr>
                <w:b/>
              </w:rPr>
              <w:t>Threshold</w:t>
            </w:r>
          </w:p>
        </w:tc>
      </w:tr>
      <w:tr w:rsidR="00452036" w:rsidRPr="00204432" w14:paraId="7007EB0F" w14:textId="77777777" w:rsidTr="00F332A8">
        <w:trPr>
          <w:trHeight w:val="156"/>
        </w:trPr>
        <w:tc>
          <w:tcPr>
            <w:tcW w:w="1430" w:type="dxa"/>
            <w:vMerge w:val="restart"/>
          </w:tcPr>
          <w:p w14:paraId="72F0C3E1" w14:textId="77777777" w:rsidR="00452036" w:rsidRPr="00626147" w:rsidRDefault="00452036" w:rsidP="00F332A8">
            <w:pPr>
              <w:pStyle w:val="Tablesmalltext"/>
              <w:rPr>
                <w:b/>
              </w:rPr>
            </w:pPr>
            <w:r w:rsidRPr="00626147">
              <w:rPr>
                <w:b/>
              </w:rPr>
              <w:t>Shear stress rankings</w:t>
            </w:r>
          </w:p>
        </w:tc>
        <w:tc>
          <w:tcPr>
            <w:tcW w:w="5086" w:type="dxa"/>
            <w:vMerge w:val="restart"/>
          </w:tcPr>
          <w:p w14:paraId="199792FD" w14:textId="696FC45E" w:rsidR="00452036" w:rsidRDefault="00452036" w:rsidP="00F332A8">
            <w:pPr>
              <w:pStyle w:val="Tablesmalltext"/>
            </w:pPr>
            <w:r>
              <w:t>Different bed material mobilise at different shear stresses. Flow magnitudes that correspond the shear stress risk categories has been determined for the Cardinia Creek channel</w:t>
            </w:r>
            <w:r w:rsidR="00F332A8">
              <w:t xml:space="preserve"> from the Hec Ras modelling </w:t>
            </w:r>
            <w:r w:rsidR="00626147">
              <w:t xml:space="preserve">of channel characteristics </w:t>
            </w:r>
            <w:r w:rsidR="00F332A8">
              <w:t xml:space="preserve">and using criteria from </w:t>
            </w:r>
            <w:r w:rsidR="00F332A8">
              <w:fldChar w:fldCharType="begin"/>
            </w:r>
            <w:r w:rsidR="00F332A8">
              <w:instrText xml:space="preserve"> ADDIN EN.CITE &lt;EndNote&gt;&lt;Cite AuthorYear="1"&gt;&lt;Author&gt;Gordon&lt;/Author&gt;&lt;Year&gt;2004&lt;/Year&gt;&lt;RecNum&gt;3709&lt;/RecNum&gt;&lt;DisplayText&gt;Gordon&lt;style face="italic"&gt; et al.&lt;/style&gt; (2004)&lt;/DisplayText&gt;&lt;record&gt;&lt;rec-number&gt;3709&lt;/rec-number&gt;&lt;foreign-keys&gt;&lt;key app="EN" db-id="d0s2errflvze20evzxyvr9xzwfwste2v9tf2" timestamp="1581988059"&gt;3709&lt;/key&gt;&lt;/foreign-keys&gt;&lt;ref-type name="Book"&gt;6&lt;/ref-type&gt;&lt;contributors&gt;&lt;authors&gt;&lt;author&gt;Gordon, N.D.&lt;/author&gt;&lt;author&gt;McMahon, T.A.&lt;/author&gt;&lt;author&gt;Finlayson, B.L.&lt;/author&gt;&lt;author&gt;Gippel, C.J.&lt;/author&gt;&lt;author&gt;Nathan, R.J.&lt;/author&gt;&lt;/authors&gt;&lt;/contributors&gt;&lt;titles&gt;&lt;title&gt;Stream Hydrology: An Introduction for Ecologists&lt;/title&gt;&lt;/titles&gt;&lt;dates&gt;&lt;year&gt;2004&lt;/year&gt;&lt;/dates&gt;&lt;pub-location&gt;Chichester&lt;/pub-location&gt;&lt;publisher&gt;John Wiley &amp;amp; Sons&lt;/publisher&gt;&lt;urls&gt;&lt;/urls&gt;&lt;/record&gt;&lt;/Cite&gt;&lt;/EndNote&gt;</w:instrText>
            </w:r>
            <w:r w:rsidR="00F332A8">
              <w:fldChar w:fldCharType="separate"/>
            </w:r>
            <w:r w:rsidR="00F332A8">
              <w:rPr>
                <w:noProof/>
              </w:rPr>
              <w:t>Gordon</w:t>
            </w:r>
            <w:r w:rsidR="00F332A8" w:rsidRPr="00F332A8">
              <w:rPr>
                <w:i/>
                <w:noProof/>
              </w:rPr>
              <w:t xml:space="preserve"> et al.</w:t>
            </w:r>
            <w:r w:rsidR="00F332A8">
              <w:rPr>
                <w:noProof/>
              </w:rPr>
              <w:t xml:space="preserve"> (2004)</w:t>
            </w:r>
            <w:r w:rsidR="00F332A8">
              <w:fldChar w:fldCharType="end"/>
            </w:r>
            <w:r w:rsidR="00F332A8">
              <w:t xml:space="preserve"> (see </w:t>
            </w:r>
            <w:r w:rsidR="00F332A8">
              <w:fldChar w:fldCharType="begin"/>
            </w:r>
            <w:r w:rsidR="00F332A8">
              <w:instrText xml:space="preserve"> ADDIN EN.CITE &lt;EndNote&gt;&lt;Cite AuthorYear="1"&gt;&lt;Author&gt;Jacobs&lt;/Author&gt;&lt;Year&gt;2020&lt;/Year&gt;&lt;RecNum&gt;3716&lt;/RecNum&gt;&lt;DisplayText&gt;Jacobs (2020)&lt;/DisplayText&gt;&lt;record&gt;&lt;rec-number&gt;3716&lt;/rec-number&gt;&lt;foreign-keys&gt;&lt;key app="EN" db-id="d0s2errflvze20evzxyvr9xzwfwste2v9tf2" timestamp="1591853894"&gt;3716&lt;/key&gt;&lt;/foreign-keys&gt;&lt;ref-type name="Report"&gt;27&lt;/ref-type&gt;&lt;contributors&gt;&lt;authors&gt;&lt;author&gt;Jacobs&lt;/author&gt;&lt;/authors&gt;&lt;tertiary-authors&gt;&lt;author&gt;Report prepared by Jacobs for Melbourne Water&lt;/author&gt;&lt;/tertiary-authors&gt;&lt;/contributors&gt;&lt;titles&gt;&lt;title&gt;Cardinia Creek Conservation Area Hydrology and Fish Investigation: Modelling Outcomes&lt;/title&gt;&lt;/titles&gt;&lt;dates&gt;&lt;year&gt;2020&lt;/year&gt;&lt;/dates&gt;&lt;urls&gt;&lt;/urls&gt;&lt;/record&gt;&lt;/Cite&gt;&lt;/EndNote&gt;</w:instrText>
            </w:r>
            <w:r w:rsidR="00F332A8">
              <w:fldChar w:fldCharType="separate"/>
            </w:r>
            <w:r w:rsidR="00F332A8">
              <w:rPr>
                <w:noProof/>
              </w:rPr>
              <w:t>Jacobs (2020)</w:t>
            </w:r>
            <w:r w:rsidR="00F332A8">
              <w:fldChar w:fldCharType="end"/>
            </w:r>
            <w:r w:rsidR="00F332A8">
              <w:t xml:space="preserve"> for details of shear stress risk categories).</w:t>
            </w:r>
            <w:r>
              <w:t xml:space="preserve">  Assessment is against percent of time that flow exceeds various </w:t>
            </w:r>
            <w:r w:rsidR="00626147">
              <w:t xml:space="preserve">flow threshold / </w:t>
            </w:r>
            <w:r>
              <w:t>risk categories under current and full development</w:t>
            </w:r>
            <w:r w:rsidR="00626147">
              <w:t xml:space="preserve"> scenarios.</w:t>
            </w:r>
          </w:p>
        </w:tc>
        <w:tc>
          <w:tcPr>
            <w:tcW w:w="3748" w:type="dxa"/>
          </w:tcPr>
          <w:p w14:paraId="66EEBE50" w14:textId="28195999" w:rsidR="00452036" w:rsidRPr="00F332A8" w:rsidRDefault="00452036" w:rsidP="00F332A8">
            <w:pPr>
              <w:pStyle w:val="Tablesmalltext"/>
            </w:pPr>
            <w:r w:rsidRPr="00F332A8">
              <w:t>&lt;5 ML/d (very low risk</w:t>
            </w:r>
            <w:r w:rsidR="00F332A8" w:rsidRPr="00F332A8">
              <w:t>, minimal movement of unconsolidated bed material</w:t>
            </w:r>
            <w:r w:rsidRPr="00F332A8">
              <w:t>)</w:t>
            </w:r>
          </w:p>
        </w:tc>
      </w:tr>
      <w:tr w:rsidR="00452036" w:rsidRPr="00204432" w14:paraId="4C08E2CA" w14:textId="77777777" w:rsidTr="00F332A8">
        <w:trPr>
          <w:trHeight w:val="169"/>
        </w:trPr>
        <w:tc>
          <w:tcPr>
            <w:tcW w:w="1430" w:type="dxa"/>
            <w:vMerge/>
          </w:tcPr>
          <w:p w14:paraId="7AD1A325" w14:textId="77777777" w:rsidR="00452036" w:rsidRPr="00626147" w:rsidRDefault="00452036" w:rsidP="00F332A8">
            <w:pPr>
              <w:pStyle w:val="Tablesmalltext"/>
              <w:rPr>
                <w:b/>
              </w:rPr>
            </w:pPr>
          </w:p>
        </w:tc>
        <w:tc>
          <w:tcPr>
            <w:tcW w:w="5086" w:type="dxa"/>
            <w:vMerge/>
          </w:tcPr>
          <w:p w14:paraId="576CB6A7" w14:textId="77777777" w:rsidR="00452036" w:rsidRDefault="00452036" w:rsidP="00F332A8">
            <w:pPr>
              <w:pStyle w:val="Tablesmalltext"/>
            </w:pPr>
          </w:p>
        </w:tc>
        <w:tc>
          <w:tcPr>
            <w:tcW w:w="3748" w:type="dxa"/>
          </w:tcPr>
          <w:p w14:paraId="00A81A62" w14:textId="48F3DAD9" w:rsidR="00452036" w:rsidRPr="00F332A8" w:rsidRDefault="00452036" w:rsidP="00F332A8">
            <w:pPr>
              <w:pStyle w:val="Tablesmalltext"/>
            </w:pPr>
            <w:r w:rsidRPr="00F332A8">
              <w:t>5.1-30 ML/d (</w:t>
            </w:r>
            <w:r w:rsidR="00F332A8" w:rsidRPr="00F332A8">
              <w:t>potential movement of unconsolidated bed material, limited movement of consolidated / shielded fine bed material</w:t>
            </w:r>
            <w:r w:rsidRPr="00F332A8">
              <w:t>)</w:t>
            </w:r>
          </w:p>
        </w:tc>
      </w:tr>
      <w:tr w:rsidR="00452036" w:rsidRPr="00204432" w14:paraId="72D48DD2" w14:textId="77777777" w:rsidTr="00F332A8">
        <w:trPr>
          <w:trHeight w:val="182"/>
        </w:trPr>
        <w:tc>
          <w:tcPr>
            <w:tcW w:w="1430" w:type="dxa"/>
            <w:vMerge/>
          </w:tcPr>
          <w:p w14:paraId="0BF13A47" w14:textId="77777777" w:rsidR="00452036" w:rsidRPr="00626147" w:rsidRDefault="00452036" w:rsidP="00F332A8">
            <w:pPr>
              <w:pStyle w:val="Tablesmalltext"/>
              <w:rPr>
                <w:b/>
              </w:rPr>
            </w:pPr>
          </w:p>
        </w:tc>
        <w:tc>
          <w:tcPr>
            <w:tcW w:w="5086" w:type="dxa"/>
            <w:vMerge/>
          </w:tcPr>
          <w:p w14:paraId="40555B08" w14:textId="77777777" w:rsidR="00452036" w:rsidRDefault="00452036" w:rsidP="00F332A8">
            <w:pPr>
              <w:pStyle w:val="Tablesmalltext"/>
            </w:pPr>
          </w:p>
        </w:tc>
        <w:tc>
          <w:tcPr>
            <w:tcW w:w="3748" w:type="dxa"/>
          </w:tcPr>
          <w:p w14:paraId="25922650" w14:textId="124DD525" w:rsidR="00452036" w:rsidRPr="00F332A8" w:rsidRDefault="00452036" w:rsidP="00F332A8">
            <w:pPr>
              <w:pStyle w:val="Tablesmalltext"/>
            </w:pPr>
            <w:r w:rsidRPr="00F332A8">
              <w:t>30.1-200 ML/d (moderate risk</w:t>
            </w:r>
            <w:r w:rsidR="00F332A8" w:rsidRPr="00F332A8">
              <w:t>, potential movement of shielded bed material</w:t>
            </w:r>
            <w:r w:rsidRPr="00F332A8">
              <w:t>)</w:t>
            </w:r>
          </w:p>
        </w:tc>
      </w:tr>
      <w:tr w:rsidR="00452036" w:rsidRPr="00204432" w14:paraId="09B1966C" w14:textId="77777777" w:rsidTr="00F332A8">
        <w:trPr>
          <w:trHeight w:val="157"/>
        </w:trPr>
        <w:tc>
          <w:tcPr>
            <w:tcW w:w="1430" w:type="dxa"/>
            <w:vMerge/>
          </w:tcPr>
          <w:p w14:paraId="5F51AB6C" w14:textId="77777777" w:rsidR="00452036" w:rsidRPr="00626147" w:rsidRDefault="00452036" w:rsidP="00F332A8">
            <w:pPr>
              <w:pStyle w:val="Tablesmalltext"/>
              <w:rPr>
                <w:b/>
              </w:rPr>
            </w:pPr>
          </w:p>
        </w:tc>
        <w:tc>
          <w:tcPr>
            <w:tcW w:w="5086" w:type="dxa"/>
            <w:vMerge/>
          </w:tcPr>
          <w:p w14:paraId="5B2A2B12" w14:textId="77777777" w:rsidR="00452036" w:rsidRDefault="00452036" w:rsidP="00F332A8">
            <w:pPr>
              <w:pStyle w:val="Tablesmalltext"/>
            </w:pPr>
          </w:p>
        </w:tc>
        <w:tc>
          <w:tcPr>
            <w:tcW w:w="3748" w:type="dxa"/>
          </w:tcPr>
          <w:p w14:paraId="7BC32D66" w14:textId="1F2D6849" w:rsidR="00452036" w:rsidRPr="00F332A8" w:rsidRDefault="00452036" w:rsidP="00F332A8">
            <w:pPr>
              <w:pStyle w:val="Tablesmalltext"/>
            </w:pPr>
            <w:r w:rsidRPr="00F332A8">
              <w:t>200.1-750 ML/d (high risk</w:t>
            </w:r>
            <w:r w:rsidR="00F332A8" w:rsidRPr="00F332A8">
              <w:t>, likely movement of shielded bed material</w:t>
            </w:r>
            <w:r w:rsidRPr="00F332A8">
              <w:t>)</w:t>
            </w:r>
          </w:p>
        </w:tc>
      </w:tr>
      <w:tr w:rsidR="00452036" w:rsidRPr="00204432" w14:paraId="07E9B87C" w14:textId="77777777" w:rsidTr="00F332A8">
        <w:trPr>
          <w:trHeight w:val="123"/>
        </w:trPr>
        <w:tc>
          <w:tcPr>
            <w:tcW w:w="1430" w:type="dxa"/>
            <w:vMerge/>
          </w:tcPr>
          <w:p w14:paraId="7CE46427" w14:textId="77777777" w:rsidR="00452036" w:rsidRPr="00626147" w:rsidRDefault="00452036" w:rsidP="00F332A8">
            <w:pPr>
              <w:pStyle w:val="Tablesmalltext"/>
              <w:rPr>
                <w:b/>
              </w:rPr>
            </w:pPr>
          </w:p>
        </w:tc>
        <w:tc>
          <w:tcPr>
            <w:tcW w:w="5086" w:type="dxa"/>
            <w:vMerge/>
          </w:tcPr>
          <w:p w14:paraId="60E331D7" w14:textId="77777777" w:rsidR="00452036" w:rsidRPr="0032404F" w:rsidRDefault="00452036" w:rsidP="00F332A8">
            <w:pPr>
              <w:pStyle w:val="Tablesmalltext"/>
            </w:pPr>
          </w:p>
        </w:tc>
        <w:tc>
          <w:tcPr>
            <w:tcW w:w="3748" w:type="dxa"/>
          </w:tcPr>
          <w:p w14:paraId="06FBE0BF" w14:textId="3E5C61E2" w:rsidR="00452036" w:rsidRPr="00F332A8" w:rsidRDefault="00452036" w:rsidP="00F332A8">
            <w:pPr>
              <w:pStyle w:val="Tablesmalltext"/>
            </w:pPr>
            <w:r w:rsidRPr="00F332A8">
              <w:t>&gt;750 (very high risk</w:t>
            </w:r>
            <w:r w:rsidR="00F332A8" w:rsidRPr="00F332A8">
              <w:t>, scour of stiff clay, cobbles and potential impacts on in-channel vegetation</w:t>
            </w:r>
            <w:r w:rsidRPr="00F332A8">
              <w:t>)</w:t>
            </w:r>
          </w:p>
        </w:tc>
      </w:tr>
      <w:tr w:rsidR="00452036" w14:paraId="5914AA30" w14:textId="77777777" w:rsidTr="00F332A8">
        <w:trPr>
          <w:trHeight w:val="1143"/>
        </w:trPr>
        <w:tc>
          <w:tcPr>
            <w:tcW w:w="1430" w:type="dxa"/>
          </w:tcPr>
          <w:p w14:paraId="27E32B32" w14:textId="34285377" w:rsidR="00452036" w:rsidRPr="00626147" w:rsidRDefault="00452036" w:rsidP="00626147">
            <w:pPr>
              <w:pStyle w:val="Tablesmalltext"/>
              <w:rPr>
                <w:b/>
              </w:rPr>
            </w:pPr>
            <w:r w:rsidRPr="00626147">
              <w:rPr>
                <w:b/>
              </w:rPr>
              <w:t>Bed mobilisation</w:t>
            </w:r>
          </w:p>
        </w:tc>
        <w:tc>
          <w:tcPr>
            <w:tcW w:w="5086" w:type="dxa"/>
          </w:tcPr>
          <w:p w14:paraId="50FCE120" w14:textId="4EC9CA5D" w:rsidR="00452036" w:rsidRDefault="00452036" w:rsidP="00F332A8">
            <w:pPr>
              <w:pStyle w:val="Tablesmalltext"/>
            </w:pPr>
            <w:r>
              <w:t>Represents a natural disturbance event that transports sediment and organic material, maintains channel form, flushes riffles etc.  Metric is expressed as the fraction of time</w:t>
            </w:r>
            <w:r w:rsidR="00F332A8">
              <w:t xml:space="preserve"> flow is</w:t>
            </w:r>
            <w:r>
              <w:t xml:space="preserve"> &gt;Q</w:t>
            </w:r>
            <w:r w:rsidRPr="009210C3">
              <w:rPr>
                <w:vertAlign w:val="subscript"/>
              </w:rPr>
              <w:t>2yrARI</w:t>
            </w:r>
            <w:r>
              <w:t xml:space="preserve">/2 </w:t>
            </w:r>
            <w:r>
              <w:fldChar w:fldCharType="begin"/>
            </w:r>
            <w:r>
              <w:instrText xml:space="preserve"> ADDIN EN.CITE &lt;EndNote&gt;&lt;Cite&gt;&lt;Author&gt;Duncan&lt;/Author&gt;&lt;Year&gt;2014&lt;/Year&gt;&lt;RecNum&gt;3703&lt;/RecNum&gt;&lt;DisplayText&gt;(Duncan&lt;style face="italic"&gt; et al.&lt;/style&gt;, 2014)&lt;/DisplayText&gt;&lt;record&gt;&lt;rec-number&gt;3703&lt;/rec-number&gt;&lt;foreign-keys&gt;&lt;key app="EN" db-id="d0s2errflvze20evzxyvr9xzwfwste2v9tf2" timestamp="1575848974"&gt;3703&lt;/key&gt;&lt;/foreign-keys&gt;&lt;ref-type name="Report"&gt;27&lt;/ref-type&gt;&lt;contributors&gt;&lt;authors&gt;&lt;author&gt;Duncan, H.P.&lt;/author&gt;&lt;author&gt;Fletcher, T.D. &lt;/author&gt;&lt;author&gt;Vietz, G. &lt;/author&gt;&lt;author&gt;Urrutiaguer, M.&lt;/author&gt;&lt;/authors&gt;&lt;/contributors&gt;&lt;titles&gt;&lt;title&gt;The feasibility of maintaining ecologically and geomorphically important elements of the natural flow regime in the context of a superabundance of flow&lt;/title&gt;&lt;/titles&gt;&lt;dates&gt;&lt;year&gt;2014&lt;/year&gt;&lt;/dates&gt;&lt;publisher&gt;Melbourne Waterway Research-Practice Partnership Technical Report. 14.5&lt;/publisher&gt;&lt;urls&gt;&lt;/urls&gt;&lt;/record&gt;&lt;/Cite&gt;&lt;/EndNote&gt;</w:instrText>
            </w:r>
            <w:r>
              <w:fldChar w:fldCharType="separate"/>
            </w:r>
            <w:r>
              <w:rPr>
                <w:noProof/>
              </w:rPr>
              <w:t>(Duncan</w:t>
            </w:r>
            <w:r w:rsidRPr="009210C3">
              <w:rPr>
                <w:i/>
                <w:noProof/>
              </w:rPr>
              <w:t xml:space="preserve"> et al.</w:t>
            </w:r>
            <w:r>
              <w:rPr>
                <w:noProof/>
              </w:rPr>
              <w:t>, 2014)</w:t>
            </w:r>
            <w:r>
              <w:fldChar w:fldCharType="end"/>
            </w:r>
            <w:r>
              <w:t>. T</w:t>
            </w:r>
            <w:r w:rsidR="00F332A8">
              <w:t>he t</w:t>
            </w:r>
            <w:r>
              <w:t xml:space="preserve">hreshold is determined for the current </w:t>
            </w:r>
            <w:r w:rsidR="00626147">
              <w:t xml:space="preserve">flow </w:t>
            </w:r>
            <w:r>
              <w:t xml:space="preserve">condition and </w:t>
            </w:r>
            <w:r w:rsidR="00F332A8">
              <w:t xml:space="preserve">the </w:t>
            </w:r>
            <w:r>
              <w:t xml:space="preserve">change in duration </w:t>
            </w:r>
            <w:r w:rsidR="00F332A8">
              <w:t xml:space="preserve">is </w:t>
            </w:r>
            <w:r>
              <w:t>compared between current and full development</w:t>
            </w:r>
            <w:r w:rsidR="00F332A8">
              <w:t xml:space="preserve"> flow scenarios.</w:t>
            </w:r>
            <w:r w:rsidR="00FA1B93">
              <w:t xml:space="preserve"> </w:t>
            </w:r>
          </w:p>
        </w:tc>
        <w:tc>
          <w:tcPr>
            <w:tcW w:w="3748" w:type="dxa"/>
          </w:tcPr>
          <w:p w14:paraId="105558CD" w14:textId="77777777" w:rsidR="00452036" w:rsidRPr="00F332A8" w:rsidRDefault="00452036" w:rsidP="00F332A8">
            <w:pPr>
              <w:pStyle w:val="Tablesmalltext"/>
            </w:pPr>
            <w:r w:rsidRPr="00F332A8">
              <w:t>Q</w:t>
            </w:r>
            <w:r w:rsidRPr="00F332A8">
              <w:rPr>
                <w:vertAlign w:val="subscript"/>
              </w:rPr>
              <w:t>2yrcurrentARI</w:t>
            </w:r>
            <w:r w:rsidRPr="00F332A8">
              <w:t>/2</w:t>
            </w:r>
          </w:p>
          <w:p w14:paraId="353C7196" w14:textId="77777777" w:rsidR="00452036" w:rsidRPr="00F332A8" w:rsidRDefault="00452036" w:rsidP="00F332A8">
            <w:pPr>
              <w:pStyle w:val="Tablesmalltext"/>
            </w:pPr>
            <w:r w:rsidRPr="00F332A8">
              <w:t>Cardinia Drop Structure (376 ML/d)</w:t>
            </w:r>
          </w:p>
          <w:p w14:paraId="6ADE5B69" w14:textId="77777777" w:rsidR="00452036" w:rsidRPr="00F332A8" w:rsidRDefault="00452036" w:rsidP="00F332A8">
            <w:pPr>
              <w:pStyle w:val="Tablesmalltext"/>
            </w:pPr>
            <w:r w:rsidRPr="00F332A8">
              <w:t>Chasemore Rd (370 ML/d)</w:t>
            </w:r>
          </w:p>
          <w:p w14:paraId="79866E9A" w14:textId="77777777" w:rsidR="00FA1B93" w:rsidRDefault="00452036" w:rsidP="00626147">
            <w:pPr>
              <w:pStyle w:val="Tablesmalltext"/>
            </w:pPr>
            <w:r w:rsidRPr="00F332A8">
              <w:t xml:space="preserve">WPB outlet (638 ML/d)  </w:t>
            </w:r>
          </w:p>
          <w:p w14:paraId="2BFB0C54" w14:textId="4C692A3E" w:rsidR="00452036" w:rsidRPr="00F332A8" w:rsidRDefault="00FA1B93" w:rsidP="00626147">
            <w:pPr>
              <w:pStyle w:val="Tablesmalltext"/>
            </w:pPr>
            <w:r>
              <w:t>Note the bed mobilisation flows fall within the high shear stress risk category.</w:t>
            </w:r>
          </w:p>
        </w:tc>
      </w:tr>
      <w:tr w:rsidR="00452036" w14:paraId="2AE821BB" w14:textId="77777777" w:rsidTr="00F332A8">
        <w:trPr>
          <w:trHeight w:val="668"/>
        </w:trPr>
        <w:tc>
          <w:tcPr>
            <w:tcW w:w="1430" w:type="dxa"/>
          </w:tcPr>
          <w:p w14:paraId="08D1CBB5" w14:textId="77777777" w:rsidR="00452036" w:rsidRPr="00626147" w:rsidRDefault="00452036" w:rsidP="00F332A8">
            <w:pPr>
              <w:pStyle w:val="Tablesmalltext"/>
              <w:rPr>
                <w:b/>
              </w:rPr>
            </w:pPr>
            <w:r w:rsidRPr="00626147">
              <w:rPr>
                <w:b/>
              </w:rPr>
              <w:t>Variation in daily flow</w:t>
            </w:r>
          </w:p>
        </w:tc>
        <w:tc>
          <w:tcPr>
            <w:tcW w:w="5086" w:type="dxa"/>
          </w:tcPr>
          <w:p w14:paraId="246CCE29" w14:textId="77777777" w:rsidR="00626147" w:rsidRDefault="00626147" w:rsidP="00626147">
            <w:pPr>
              <w:pStyle w:val="Tablesmalltext"/>
            </w:pPr>
            <w:r>
              <w:t>Large variations in day to day (and within day) flows (i.e. flashy flows) create excessive disturbance that impact on the ability of biota to persist in highly variable habitats.  Highly variable flows with rapid changes can also result in bank slumping. Increases in flow variability can occur post development due to more rapid runoff from impervious surfaces.</w:t>
            </w:r>
          </w:p>
          <w:p w14:paraId="7380912E" w14:textId="7D2DC897" w:rsidR="00452036" w:rsidRPr="0032404F" w:rsidRDefault="00626147" w:rsidP="00626147">
            <w:pPr>
              <w:pStyle w:val="Tablesmalltext"/>
            </w:pPr>
            <w:r>
              <w:t xml:space="preserve">Variation can be expressed as the sum of the absolute values of change in mean daily flows divided by the sum of the mean daily flows </w:t>
            </w:r>
            <w:r>
              <w:fldChar w:fldCharType="begin"/>
            </w:r>
            <w:r>
              <w:instrText xml:space="preserve"> ADDIN EN.CITE &lt;EndNote&gt;&lt;Cite&gt;&lt;Author&gt;Duncan&lt;/Author&gt;&lt;Year&gt;2014&lt;/Year&gt;&lt;RecNum&gt;3703&lt;/RecNum&gt;&lt;DisplayText&gt;(Duncan&lt;style face="italic"&gt; et al.&lt;/style&gt;, 2014)&lt;/DisplayText&gt;&lt;record&gt;&lt;rec-number&gt;3703&lt;/rec-number&gt;&lt;foreign-keys&gt;&lt;key app="EN" db-id="d0s2errflvze20evzxyvr9xzwfwste2v9tf2" timestamp="1575848974"&gt;3703&lt;/key&gt;&lt;/foreign-keys&gt;&lt;ref-type name="Report"&gt;27&lt;/ref-type&gt;&lt;contributors&gt;&lt;authors&gt;&lt;author&gt;Duncan, H.P.&lt;/author&gt;&lt;author&gt;Fletcher, T.D. &lt;/author&gt;&lt;author&gt;Vietz, G. &lt;/author&gt;&lt;author&gt;Urrutiaguer, M.&lt;/author&gt;&lt;/authors&gt;&lt;/contributors&gt;&lt;titles&gt;&lt;title&gt;The feasibility of maintaining ecologically and geomorphically important elements of the natural flow regime in the context of a superabundance of flow&lt;/title&gt;&lt;/titles&gt;&lt;dates&gt;&lt;year&gt;2014&lt;/year&gt;&lt;/dates&gt;&lt;publisher&gt;Melbourne Waterway Research-Practice Partnership Technical Report. 14.5&lt;/publisher&gt;&lt;urls&gt;&lt;/urls&gt;&lt;/record&gt;&lt;/Cite&gt;&lt;/EndNote&gt;</w:instrText>
            </w:r>
            <w:r>
              <w:fldChar w:fldCharType="separate"/>
            </w:r>
            <w:r>
              <w:rPr>
                <w:noProof/>
              </w:rPr>
              <w:t>(Duncan</w:t>
            </w:r>
            <w:r w:rsidRPr="009210C3">
              <w:rPr>
                <w:i/>
                <w:noProof/>
              </w:rPr>
              <w:t xml:space="preserve"> et al.</w:t>
            </w:r>
            <w:r>
              <w:rPr>
                <w:noProof/>
              </w:rPr>
              <w:t>, 2014)</w:t>
            </w:r>
            <w:r>
              <w:fldChar w:fldCharType="end"/>
            </w:r>
            <w:r>
              <w:t>.  This provides a measure of the variability of flows as an indicator of the duration of ‘disturbance events’ and stream flashiness.</w:t>
            </w:r>
          </w:p>
        </w:tc>
        <w:tc>
          <w:tcPr>
            <w:tcW w:w="3748" w:type="dxa"/>
          </w:tcPr>
          <w:p w14:paraId="264E74EB" w14:textId="399DFBCB" w:rsidR="00452036" w:rsidRPr="00F332A8" w:rsidRDefault="00626147" w:rsidP="00F332A8">
            <w:pPr>
              <w:pStyle w:val="Tablesmalltext"/>
            </w:pPr>
            <w:r>
              <w:t>Unitless metric: f</w:t>
            </w:r>
            <w:r w:rsidR="00452036" w:rsidRPr="00F332A8">
              <w:t>ull development compared to current</w:t>
            </w:r>
            <w:r>
              <w:t xml:space="preserve"> scenarios</w:t>
            </w:r>
            <w:r w:rsidR="00452036" w:rsidRPr="00F332A8">
              <w:t>, a larger number means a higher flow variation</w:t>
            </w:r>
            <w:r>
              <w:t>.</w:t>
            </w:r>
          </w:p>
        </w:tc>
      </w:tr>
      <w:tr w:rsidR="00452036" w14:paraId="226947D3" w14:textId="77777777" w:rsidTr="00F332A8">
        <w:trPr>
          <w:trHeight w:val="912"/>
        </w:trPr>
        <w:tc>
          <w:tcPr>
            <w:tcW w:w="1430" w:type="dxa"/>
            <w:vMerge w:val="restart"/>
          </w:tcPr>
          <w:p w14:paraId="2662CBEA" w14:textId="77777777" w:rsidR="00452036" w:rsidRPr="00626147" w:rsidRDefault="00452036" w:rsidP="00F332A8">
            <w:pPr>
              <w:pStyle w:val="Tablesmalltext"/>
              <w:rPr>
                <w:b/>
              </w:rPr>
            </w:pPr>
            <w:r w:rsidRPr="00626147">
              <w:rPr>
                <w:b/>
              </w:rPr>
              <w:t>High flow frequency and duration</w:t>
            </w:r>
          </w:p>
        </w:tc>
        <w:tc>
          <w:tcPr>
            <w:tcW w:w="5086" w:type="dxa"/>
            <w:vMerge w:val="restart"/>
          </w:tcPr>
          <w:p w14:paraId="3735A6B3" w14:textId="77777777" w:rsidR="00452036" w:rsidRDefault="00452036" w:rsidP="00F332A8">
            <w:pPr>
              <w:pStyle w:val="Tablesmalltext"/>
            </w:pPr>
            <w:r>
              <w:t xml:space="preserve">Similar to the bed mobilisation metric but is based on the number of times and the duration that a high flow threshold is exceeded.  The high flow frequency metric is typically defined as the number of events per year greater than 3 times the median flow and the high </w:t>
            </w:r>
            <w:r>
              <w:lastRenderedPageBreak/>
              <w:t xml:space="preserve">flow duration is the fraction of days that daily mean flow is greater than the annual mean flow </w:t>
            </w:r>
            <w:r>
              <w:fldChar w:fldCharType="begin"/>
            </w:r>
            <w:r>
              <w:instrText xml:space="preserve"> ADDIN EN.CITE &lt;EndNote&gt;&lt;Cite&gt;&lt;Author&gt;Duncan&lt;/Author&gt;&lt;Year&gt;2014&lt;/Year&gt;&lt;RecNum&gt;3703&lt;/RecNum&gt;&lt;DisplayText&gt;(Duncan&lt;style face="italic"&gt; et al.&lt;/style&gt;, 2014)&lt;/DisplayText&gt;&lt;record&gt;&lt;rec-number&gt;3703&lt;/rec-number&gt;&lt;foreign-keys&gt;&lt;key app="EN" db-id="d0s2errflvze20evzxyvr9xzwfwste2v9tf2" timestamp="1575848974"&gt;3703&lt;/key&gt;&lt;/foreign-keys&gt;&lt;ref-type name="Report"&gt;27&lt;/ref-type&gt;&lt;contributors&gt;&lt;authors&gt;&lt;author&gt;Duncan, H.P.&lt;/author&gt;&lt;author&gt;Fletcher, T.D. &lt;/author&gt;&lt;author&gt;Vietz, G. &lt;/author&gt;&lt;author&gt;Urrutiaguer, M.&lt;/author&gt;&lt;/authors&gt;&lt;/contributors&gt;&lt;titles&gt;&lt;title&gt;The feasibility of maintaining ecologically and geomorphically important elements of the natural flow regime in the context of a superabundance of flow&lt;/title&gt;&lt;/titles&gt;&lt;dates&gt;&lt;year&gt;2014&lt;/year&gt;&lt;/dates&gt;&lt;publisher&gt;Melbourne Waterway Research-Practice Partnership Technical Report. 14.5&lt;/publisher&gt;&lt;urls&gt;&lt;/urls&gt;&lt;/record&gt;&lt;/Cite&gt;&lt;/EndNote&gt;</w:instrText>
            </w:r>
            <w:r>
              <w:fldChar w:fldCharType="separate"/>
            </w:r>
            <w:r>
              <w:rPr>
                <w:noProof/>
              </w:rPr>
              <w:t>(Duncan</w:t>
            </w:r>
            <w:r w:rsidRPr="00EF6E20">
              <w:rPr>
                <w:i/>
                <w:noProof/>
              </w:rPr>
              <w:t xml:space="preserve"> et al.</w:t>
            </w:r>
            <w:r>
              <w:rPr>
                <w:noProof/>
              </w:rPr>
              <w:t>, 2014)</w:t>
            </w:r>
            <w:r>
              <w:fldChar w:fldCharType="end"/>
            </w:r>
            <w:r>
              <w:t>.</w:t>
            </w:r>
          </w:p>
        </w:tc>
        <w:tc>
          <w:tcPr>
            <w:tcW w:w="3748" w:type="dxa"/>
          </w:tcPr>
          <w:p w14:paraId="204900F0" w14:textId="77777777" w:rsidR="00452036" w:rsidRPr="00626147" w:rsidRDefault="00452036" w:rsidP="00F332A8">
            <w:pPr>
              <w:pStyle w:val="Tablesmalltext"/>
              <w:rPr>
                <w:b/>
              </w:rPr>
            </w:pPr>
            <w:r w:rsidRPr="00626147">
              <w:rPr>
                <w:b/>
              </w:rPr>
              <w:lastRenderedPageBreak/>
              <w:t>High flow frequency</w:t>
            </w:r>
          </w:p>
          <w:p w14:paraId="2BB5BDD9" w14:textId="77777777" w:rsidR="00452036" w:rsidRPr="00F332A8" w:rsidRDefault="00452036" w:rsidP="00F332A8">
            <w:pPr>
              <w:pStyle w:val="Tablesmalltext"/>
            </w:pPr>
            <w:r w:rsidRPr="00F332A8">
              <w:t># events that exceed 3x the median flow</w:t>
            </w:r>
          </w:p>
          <w:p w14:paraId="7640EC52" w14:textId="77777777" w:rsidR="00452036" w:rsidRPr="00F332A8" w:rsidRDefault="00452036" w:rsidP="00F332A8">
            <w:pPr>
              <w:pStyle w:val="Tablesmalltext"/>
            </w:pPr>
            <w:r w:rsidRPr="00F332A8">
              <w:t>Cardinia drop structure (66 ML/d)</w:t>
            </w:r>
          </w:p>
          <w:p w14:paraId="33B6F25C" w14:textId="77777777" w:rsidR="00452036" w:rsidRPr="00F332A8" w:rsidRDefault="00452036" w:rsidP="00F332A8">
            <w:pPr>
              <w:pStyle w:val="Tablesmalltext"/>
            </w:pPr>
            <w:r w:rsidRPr="00F332A8">
              <w:t>Chasemore Rd (79.4 ML/d)</w:t>
            </w:r>
          </w:p>
          <w:p w14:paraId="0C7C94E8" w14:textId="77777777" w:rsidR="00452036" w:rsidRPr="00F332A8" w:rsidRDefault="00452036" w:rsidP="00F332A8">
            <w:pPr>
              <w:pStyle w:val="Tablesmalltext"/>
            </w:pPr>
            <w:r w:rsidRPr="00F332A8">
              <w:t>WPB outlet (173 ML/d)</w:t>
            </w:r>
          </w:p>
        </w:tc>
      </w:tr>
      <w:tr w:rsidR="00452036" w14:paraId="73838EE1" w14:textId="77777777" w:rsidTr="00F332A8">
        <w:trPr>
          <w:trHeight w:val="939"/>
        </w:trPr>
        <w:tc>
          <w:tcPr>
            <w:tcW w:w="1430" w:type="dxa"/>
            <w:vMerge/>
          </w:tcPr>
          <w:p w14:paraId="3BF51E54" w14:textId="77777777" w:rsidR="00452036" w:rsidRPr="00626147" w:rsidRDefault="00452036" w:rsidP="00F332A8">
            <w:pPr>
              <w:pStyle w:val="Tablesmalltext"/>
              <w:rPr>
                <w:b/>
              </w:rPr>
            </w:pPr>
          </w:p>
        </w:tc>
        <w:tc>
          <w:tcPr>
            <w:tcW w:w="5086" w:type="dxa"/>
            <w:vMerge/>
          </w:tcPr>
          <w:p w14:paraId="45994A97" w14:textId="77777777" w:rsidR="00452036" w:rsidRDefault="00452036" w:rsidP="00F332A8">
            <w:pPr>
              <w:pStyle w:val="Tablesmalltext"/>
            </w:pPr>
          </w:p>
        </w:tc>
        <w:tc>
          <w:tcPr>
            <w:tcW w:w="3748" w:type="dxa"/>
          </w:tcPr>
          <w:p w14:paraId="24CF6709" w14:textId="77777777" w:rsidR="00452036" w:rsidRPr="00626147" w:rsidRDefault="00452036" w:rsidP="00F332A8">
            <w:pPr>
              <w:pStyle w:val="Tablesmalltext"/>
              <w:rPr>
                <w:b/>
              </w:rPr>
            </w:pPr>
            <w:r w:rsidRPr="00626147">
              <w:rPr>
                <w:b/>
              </w:rPr>
              <w:t>High flow duration</w:t>
            </w:r>
          </w:p>
          <w:p w14:paraId="43B0987D" w14:textId="6320691F" w:rsidR="00452036" w:rsidRPr="00F332A8" w:rsidRDefault="00452036" w:rsidP="00F332A8">
            <w:pPr>
              <w:pStyle w:val="Tablesmalltext"/>
            </w:pPr>
            <w:r w:rsidRPr="00F332A8">
              <w:t>% of days flows is &gt;annual mean flow</w:t>
            </w:r>
          </w:p>
          <w:p w14:paraId="68D6D38A" w14:textId="77777777" w:rsidR="00452036" w:rsidRPr="00F332A8" w:rsidRDefault="00452036" w:rsidP="00F332A8">
            <w:pPr>
              <w:pStyle w:val="Tablesmalltext"/>
            </w:pPr>
            <w:r w:rsidRPr="00F332A8">
              <w:t>Cardinia drop structure (46 ML/d)</w:t>
            </w:r>
          </w:p>
          <w:p w14:paraId="147E5710" w14:textId="77777777" w:rsidR="00452036" w:rsidRPr="00F332A8" w:rsidRDefault="00452036" w:rsidP="00F332A8">
            <w:pPr>
              <w:pStyle w:val="Tablesmalltext"/>
            </w:pPr>
            <w:r w:rsidRPr="00F332A8">
              <w:t>Chasemore Rd (52 ML/d)</w:t>
            </w:r>
          </w:p>
          <w:p w14:paraId="4DDEB2F0" w14:textId="77777777" w:rsidR="00452036" w:rsidRPr="00F332A8" w:rsidRDefault="00452036" w:rsidP="00F332A8">
            <w:pPr>
              <w:pStyle w:val="Tablesmalltext"/>
            </w:pPr>
            <w:r w:rsidRPr="00F332A8">
              <w:t>WPB outlet (107 ML/d)</w:t>
            </w:r>
          </w:p>
        </w:tc>
      </w:tr>
    </w:tbl>
    <w:p w14:paraId="4094911B" w14:textId="5243B34D" w:rsidR="0083479B" w:rsidRPr="002F0A5A" w:rsidRDefault="0083479B" w:rsidP="0083479B">
      <w:pPr>
        <w:pStyle w:val="Para0"/>
      </w:pPr>
      <w:r w:rsidRPr="002F0A5A">
        <w:t xml:space="preserve">The risk assessment framework adopts a quantitative approach to assessing risks. The risk assessment </w:t>
      </w:r>
      <w:r w:rsidR="00504189">
        <w:t>analyses</w:t>
      </w:r>
      <w:r w:rsidRPr="002F0A5A">
        <w:t xml:space="preserve"> both individual (i.e. for specific flow or hydraulic components) and cumulative risk associated with each PSP (i.e. the cumulative risk as a combination of individual risks, or the maximum limiting factor/risk)</w:t>
      </w:r>
      <w:r>
        <w:t>.</w:t>
      </w:r>
      <w:r w:rsidR="00626147">
        <w:t xml:space="preserve"> </w:t>
      </w:r>
      <w:r>
        <w:t xml:space="preserve"> A range of locations are assessed, including above and below PSP outfalls, </w:t>
      </w:r>
      <w:r w:rsidRPr="002F0A5A">
        <w:t xml:space="preserve">at critical habitat locations defined by hydraulic models, and cumulatively downstream of all </w:t>
      </w:r>
      <w:r w:rsidR="00626147">
        <w:t>three</w:t>
      </w:r>
      <w:r w:rsidRPr="002F0A5A">
        <w:t xml:space="preserve"> PSPs. </w:t>
      </w:r>
    </w:p>
    <w:p w14:paraId="68EC061F" w14:textId="77777777" w:rsidR="007159A8" w:rsidRDefault="007159A8" w:rsidP="00BA089D">
      <w:pPr>
        <w:pStyle w:val="Bodynarrowarrow"/>
        <w:ind w:left="0" w:hanging="57"/>
        <w:rPr>
          <w:lang w:val="en-AU"/>
        </w:rPr>
      </w:pPr>
    </w:p>
    <w:p w14:paraId="2AAA6F11" w14:textId="71913F23" w:rsidR="00017990" w:rsidRDefault="00626147" w:rsidP="00BB7F95">
      <w:pPr>
        <w:pStyle w:val="Heading1"/>
        <w:rPr>
          <w:lang w:val="en-AU"/>
        </w:rPr>
      </w:pPr>
      <w:bookmarkStart w:id="64" w:name="_Ref41468448"/>
      <w:bookmarkStart w:id="65" w:name="_Toc69480708"/>
      <w:r>
        <w:rPr>
          <w:lang w:val="en-AU"/>
        </w:rPr>
        <w:lastRenderedPageBreak/>
        <w:t>R</w:t>
      </w:r>
      <w:r w:rsidR="00126F54">
        <w:rPr>
          <w:lang w:val="en-AU"/>
        </w:rPr>
        <w:t>esults</w:t>
      </w:r>
      <w:bookmarkEnd w:id="64"/>
      <w:bookmarkEnd w:id="65"/>
    </w:p>
    <w:p w14:paraId="74BACA42" w14:textId="7F6A9B98" w:rsidR="001765F1" w:rsidRDefault="00626147" w:rsidP="00626147">
      <w:pPr>
        <w:pStyle w:val="Heading2"/>
        <w:rPr>
          <w:lang w:val="en-AU"/>
        </w:rPr>
      </w:pPr>
      <w:bookmarkStart w:id="66" w:name="_Toc69480709"/>
      <w:r>
        <w:rPr>
          <w:lang w:val="en-AU"/>
        </w:rPr>
        <w:t>Summary modelling r</w:t>
      </w:r>
      <w:r w:rsidR="001765F1">
        <w:rPr>
          <w:lang w:val="en-AU"/>
        </w:rPr>
        <w:t>esults</w:t>
      </w:r>
      <w:bookmarkEnd w:id="66"/>
      <w:r w:rsidR="001765F1">
        <w:rPr>
          <w:lang w:val="en-AU"/>
        </w:rPr>
        <w:t xml:space="preserve"> </w:t>
      </w:r>
    </w:p>
    <w:p w14:paraId="1CAE64F0" w14:textId="6BAD1244" w:rsidR="00F065BD" w:rsidRDefault="00F065BD" w:rsidP="00F065BD">
      <w:pPr>
        <w:pStyle w:val="Heading3"/>
        <w:rPr>
          <w:lang w:val="en-AU"/>
        </w:rPr>
      </w:pPr>
      <w:bookmarkStart w:id="67" w:name="_Toc69480710"/>
      <w:r>
        <w:rPr>
          <w:lang w:val="en-AU"/>
        </w:rPr>
        <w:t>Hydrological modelling</w:t>
      </w:r>
      <w:bookmarkEnd w:id="67"/>
    </w:p>
    <w:p w14:paraId="4C55ABFB" w14:textId="0C971FDF" w:rsidR="006700B7" w:rsidRDefault="001765F1" w:rsidP="006700B7">
      <w:pPr>
        <w:pStyle w:val="Para0"/>
        <w:rPr>
          <w:lang w:val="en-AU"/>
        </w:rPr>
      </w:pPr>
      <w:r>
        <w:rPr>
          <w:lang w:val="en-AU"/>
        </w:rPr>
        <w:t>This section presents the summary results of the hydrological modelling</w:t>
      </w:r>
      <w:r w:rsidR="006700B7">
        <w:rPr>
          <w:lang w:val="en-AU"/>
        </w:rPr>
        <w:t xml:space="preserve">, full details are presented in </w:t>
      </w:r>
      <w:r w:rsidR="006700B7">
        <w:rPr>
          <w:lang w:val="en-AU"/>
        </w:rPr>
        <w:fldChar w:fldCharType="begin"/>
      </w:r>
      <w:r w:rsidR="006700B7">
        <w:rPr>
          <w:lang w:val="en-AU"/>
        </w:rPr>
        <w:instrText xml:space="preserve"> ADDIN EN.CITE &lt;EndNote&gt;&lt;Cite&gt;&lt;Author&gt;Jacobs&lt;/Author&gt;&lt;Year&gt;2020&lt;/Year&gt;&lt;RecNum&gt;3716&lt;/RecNum&gt;&lt;DisplayText&gt;(Jacobs, 2020)&lt;/DisplayText&gt;&lt;record&gt;&lt;rec-number&gt;3716&lt;/rec-number&gt;&lt;foreign-keys&gt;&lt;key app="EN" db-id="d0s2errflvze20evzxyvr9xzwfwste2v9tf2" timestamp="1591853894"&gt;3716&lt;/key&gt;&lt;/foreign-keys&gt;&lt;ref-type name="Report"&gt;27&lt;/ref-type&gt;&lt;contributors&gt;&lt;authors&gt;&lt;author&gt;Jacobs&lt;/author&gt;&lt;/authors&gt;&lt;tertiary-authors&gt;&lt;author&gt;Report prepared by Jacobs for Melbourne Water&lt;/author&gt;&lt;/tertiary-authors&gt;&lt;/contributors&gt;&lt;titles&gt;&lt;title&gt;Cardinia Creek Conservation Area Hydrology and Fish Investigation: Modelling Outcomes&lt;/title&gt;&lt;/titles&gt;&lt;dates&gt;&lt;year&gt;2020&lt;/year&gt;&lt;/dates&gt;&lt;urls&gt;&lt;/urls&gt;&lt;/record&gt;&lt;/Cite&gt;&lt;/EndNote&gt;</w:instrText>
      </w:r>
      <w:r w:rsidR="006700B7">
        <w:rPr>
          <w:lang w:val="en-AU"/>
        </w:rPr>
        <w:fldChar w:fldCharType="separate"/>
      </w:r>
      <w:r w:rsidR="006700B7">
        <w:rPr>
          <w:noProof/>
          <w:lang w:val="en-AU"/>
        </w:rPr>
        <w:t>(Jacobs, 2020)</w:t>
      </w:r>
      <w:r w:rsidR="006700B7">
        <w:rPr>
          <w:lang w:val="en-AU"/>
        </w:rPr>
        <w:fldChar w:fldCharType="end"/>
      </w:r>
      <w:r>
        <w:rPr>
          <w:lang w:val="en-AU"/>
        </w:rPr>
        <w:t>.</w:t>
      </w:r>
      <w:r w:rsidR="006700B7">
        <w:rPr>
          <w:lang w:val="en-AU"/>
        </w:rPr>
        <w:t xml:space="preserve"> </w:t>
      </w:r>
    </w:p>
    <w:p w14:paraId="34547C45" w14:textId="29DF5C2B" w:rsidR="006700B7" w:rsidRDefault="006700B7" w:rsidP="006700B7">
      <w:pPr>
        <w:pStyle w:val="Para0"/>
      </w:pPr>
      <w:r>
        <w:fldChar w:fldCharType="begin"/>
      </w:r>
      <w:r>
        <w:instrText xml:space="preserve"> REF _Ref42784205 \h </w:instrText>
      </w:r>
      <w:r>
        <w:fldChar w:fldCharType="separate"/>
      </w:r>
      <w:r w:rsidR="00BE5F47">
        <w:t xml:space="preserve">Figure </w:t>
      </w:r>
      <w:r w:rsidR="00BE5F47">
        <w:rPr>
          <w:noProof/>
        </w:rPr>
        <w:t>5</w:t>
      </w:r>
      <w:r w:rsidR="00BE5F47">
        <w:noBreakHyphen/>
      </w:r>
      <w:r w:rsidR="00BE5F47">
        <w:rPr>
          <w:noProof/>
        </w:rPr>
        <w:t>1</w:t>
      </w:r>
      <w:r>
        <w:fldChar w:fldCharType="end"/>
      </w:r>
      <w:r>
        <w:t xml:space="preserve"> shows changes in flows between natural, current and full development scenarios based on modelled flow duration curves for the 10-year simulation period.  Comparing the Current (2019) and Natural scenarios, there is a notable decrease in medium to low flows under natural conditions resulting from removal of Cardinia Reservoir releases (approx. 5</w:t>
      </w:r>
      <w:r w:rsidR="00FA1B93">
        <w:t xml:space="preserve"> </w:t>
      </w:r>
      <w:r>
        <w:t>ML/d), a decrease in imperviousness and increased infiltration rates under a natural flow regime.  The full development scenario produces a substantial increase in river flows from stormwater contribution in comparison to Current (2019) conditions</w:t>
      </w:r>
      <w:r w:rsidR="00F065BD">
        <w:t>, especially in the range of10-200 ML/d</w:t>
      </w:r>
      <w:r>
        <w:t>.  There is negligible difference between the current (2019) and pre-development (2010) scenario, and therefore the pre-development (2010) scenario is not further discussed.</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4896"/>
        <w:gridCol w:w="4897"/>
      </w:tblGrid>
      <w:tr w:rsidR="006700B7" w14:paraId="746FD768" w14:textId="77777777" w:rsidTr="00670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6" w:type="dxa"/>
            <w:shd w:val="clear" w:color="auto" w:fill="FFFFFF" w:themeFill="background1"/>
          </w:tcPr>
          <w:p w14:paraId="2B4D7F76" w14:textId="77777777" w:rsidR="006700B7" w:rsidRDefault="006700B7" w:rsidP="006700B7">
            <w:pPr>
              <w:pStyle w:val="Para0"/>
              <w:spacing w:before="0" w:after="40" w:line="240" w:lineRule="auto"/>
            </w:pPr>
            <w:r>
              <w:rPr>
                <w:noProof/>
              </w:rPr>
              <w:drawing>
                <wp:inline distT="0" distB="0" distL="0" distR="0" wp14:anchorId="691BE0F8" wp14:editId="6D9269ED">
                  <wp:extent cx="3019326" cy="18370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6598" cy="1841480"/>
                          </a:xfrm>
                          <a:prstGeom prst="rect">
                            <a:avLst/>
                          </a:prstGeom>
                          <a:noFill/>
                        </pic:spPr>
                      </pic:pic>
                    </a:graphicData>
                  </a:graphic>
                </wp:inline>
              </w:drawing>
            </w:r>
          </w:p>
        </w:tc>
        <w:tc>
          <w:tcPr>
            <w:tcW w:w="4897" w:type="dxa"/>
            <w:shd w:val="clear" w:color="auto" w:fill="FFFFFF" w:themeFill="background1"/>
          </w:tcPr>
          <w:p w14:paraId="571FA7A9" w14:textId="77777777" w:rsidR="006700B7" w:rsidRDefault="006700B7" w:rsidP="006700B7">
            <w:pPr>
              <w:pStyle w:val="Para0"/>
              <w:keepNext/>
              <w:spacing w:before="0" w:after="40" w:line="240" w:lineRule="auto"/>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24F68F27" wp14:editId="21DE8DEE">
                  <wp:extent cx="3019425" cy="18371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38171" cy="1848520"/>
                          </a:xfrm>
                          <a:prstGeom prst="rect">
                            <a:avLst/>
                          </a:prstGeom>
                          <a:noFill/>
                        </pic:spPr>
                      </pic:pic>
                    </a:graphicData>
                  </a:graphic>
                </wp:inline>
              </w:drawing>
            </w:r>
          </w:p>
        </w:tc>
      </w:tr>
      <w:tr w:rsidR="006700B7" w14:paraId="627AC269" w14:textId="77777777" w:rsidTr="006700B7">
        <w:tc>
          <w:tcPr>
            <w:cnfStyle w:val="001000000000" w:firstRow="0" w:lastRow="0" w:firstColumn="1" w:lastColumn="0" w:oddVBand="0" w:evenVBand="0" w:oddHBand="0" w:evenHBand="0" w:firstRowFirstColumn="0" w:firstRowLastColumn="0" w:lastRowFirstColumn="0" w:lastRowLastColumn="0"/>
            <w:tcW w:w="4896" w:type="dxa"/>
            <w:shd w:val="clear" w:color="auto" w:fill="FFFFFF" w:themeFill="background1"/>
          </w:tcPr>
          <w:p w14:paraId="01A7A8E5" w14:textId="77777777" w:rsidR="006700B7" w:rsidRDefault="006700B7" w:rsidP="006700B7">
            <w:pPr>
              <w:pStyle w:val="Para0"/>
              <w:spacing w:before="0" w:after="40" w:line="240" w:lineRule="auto"/>
              <w:rPr>
                <w:noProof/>
              </w:rPr>
            </w:pPr>
            <w:r>
              <w:rPr>
                <w:noProof/>
              </w:rPr>
              <w:drawing>
                <wp:inline distT="0" distB="0" distL="0" distR="0" wp14:anchorId="71F7B73A" wp14:editId="473D2F1F">
                  <wp:extent cx="3018790" cy="1841549"/>
                  <wp:effectExtent l="0" t="0" r="0" b="6350"/>
                  <wp:docPr id="6144" name="Pictur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33129" cy="1850296"/>
                          </a:xfrm>
                          <a:prstGeom prst="rect">
                            <a:avLst/>
                          </a:prstGeom>
                          <a:noFill/>
                        </pic:spPr>
                      </pic:pic>
                    </a:graphicData>
                  </a:graphic>
                </wp:inline>
              </w:drawing>
            </w:r>
          </w:p>
        </w:tc>
        <w:tc>
          <w:tcPr>
            <w:tcW w:w="4897" w:type="dxa"/>
            <w:shd w:val="clear" w:color="auto" w:fill="FFFFFF" w:themeFill="background1"/>
          </w:tcPr>
          <w:p w14:paraId="18071343" w14:textId="77777777" w:rsidR="006700B7" w:rsidRDefault="006700B7" w:rsidP="006700B7">
            <w:pPr>
              <w:pStyle w:val="Para0"/>
              <w:keepNext/>
              <w:spacing w:before="0" w:after="40" w:line="240" w:lineRule="auto"/>
              <w:cnfStyle w:val="000000000000" w:firstRow="0" w:lastRow="0" w:firstColumn="0" w:lastColumn="0" w:oddVBand="0" w:evenVBand="0" w:oddHBand="0" w:evenHBand="0" w:firstRowFirstColumn="0" w:firstRowLastColumn="0" w:lastRowFirstColumn="0" w:lastRowLastColumn="0"/>
              <w:rPr>
                <w:noProof/>
              </w:rPr>
            </w:pPr>
          </w:p>
        </w:tc>
      </w:tr>
    </w:tbl>
    <w:p w14:paraId="1A813005" w14:textId="26C0FA6A" w:rsidR="006700B7" w:rsidRPr="00794DE4" w:rsidRDefault="00252BBF" w:rsidP="006700B7">
      <w:pPr>
        <w:pStyle w:val="Caption"/>
      </w:pPr>
      <w:bookmarkStart w:id="68" w:name="_Ref42784205"/>
      <w:r>
        <w:t>Figure</w:t>
      </w:r>
      <w:r w:rsidR="006700B7">
        <w:t xml:space="preserve"> </w:t>
      </w:r>
      <w:r w:rsidR="00E67EC2">
        <w:fldChar w:fldCharType="begin"/>
      </w:r>
      <w:r w:rsidR="00E67EC2">
        <w:instrText xml:space="preserve"> STYLEREF 1 \s </w:instrText>
      </w:r>
      <w:r w:rsidR="00E67EC2">
        <w:fldChar w:fldCharType="separate"/>
      </w:r>
      <w:r w:rsidR="00BE5F47">
        <w:rPr>
          <w:noProof/>
        </w:rPr>
        <w:t>5</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1</w:t>
      </w:r>
      <w:r w:rsidR="00E67EC2">
        <w:fldChar w:fldCharType="end"/>
      </w:r>
      <w:bookmarkEnd w:id="68"/>
      <w:r w:rsidR="006700B7">
        <w:t>.Flow duration curves comparing catchment model flows at the Cardinia Creek Drop Structure Officer South flow gauge site, the catchment outlet and Upper Cardinia Creek for each scenario for the 10 year simulation period. There are no changes to urban development upstream of flow gauge 228230.</w:t>
      </w:r>
    </w:p>
    <w:p w14:paraId="4B52C8DE" w14:textId="61EEF45B" w:rsidR="001765F1" w:rsidRDefault="00F065BD" w:rsidP="001765F1">
      <w:pPr>
        <w:pStyle w:val="Para0"/>
      </w:pPr>
      <w:r>
        <w:t>A comparison of dry, average and wet climate years</w:t>
      </w:r>
      <w:r w:rsidR="001765F1">
        <w:t xml:space="preserve"> shows</w:t>
      </w:r>
      <w:r>
        <w:t xml:space="preserve"> that d</w:t>
      </w:r>
      <w:r w:rsidR="001765F1">
        <w:t>eveloped scenarios lead to a greater increase in flow</w:t>
      </w:r>
      <w:r>
        <w:t xml:space="preserve"> across all climate types, although increases tend to be higher in wet and average climate years than dry years (see </w:t>
      </w:r>
      <w:r w:rsidR="00504189">
        <w:fldChar w:fldCharType="begin"/>
      </w:r>
      <w:r w:rsidR="00504189">
        <w:instrText xml:space="preserve"> REF _Ref42879627 \h </w:instrText>
      </w:r>
      <w:r w:rsidR="00504189">
        <w:fldChar w:fldCharType="separate"/>
      </w:r>
      <w:r w:rsidR="00BE5F47">
        <w:t xml:space="preserve">Figure </w:t>
      </w:r>
      <w:r w:rsidR="00BE5F47">
        <w:rPr>
          <w:noProof/>
        </w:rPr>
        <w:t>5</w:t>
      </w:r>
      <w:r w:rsidR="00BE5F47">
        <w:noBreakHyphen/>
      </w:r>
      <w:r w:rsidR="00BE5F47">
        <w:rPr>
          <w:noProof/>
        </w:rPr>
        <w:t>2</w:t>
      </w:r>
      <w:r w:rsidR="00504189">
        <w:fldChar w:fldCharType="end"/>
      </w:r>
      <w:r>
        <w:t xml:space="preserve"> for the Cardinia Drop Structure)</w:t>
      </w:r>
      <w:r w:rsidR="001765F1">
        <w:t xml:space="preserve">. </w:t>
      </w:r>
    </w:p>
    <w:p w14:paraId="26713E69" w14:textId="4061C1E9" w:rsidR="00F065BD" w:rsidRDefault="00F065BD" w:rsidP="001765F1">
      <w:pPr>
        <w:pStyle w:val="Para0"/>
      </w:pPr>
      <w:r>
        <w:t xml:space="preserve">The implications of specific changes in flows for ecological values are presented in Section </w:t>
      </w:r>
      <w:r>
        <w:fldChar w:fldCharType="begin"/>
      </w:r>
      <w:r>
        <w:instrText xml:space="preserve"> REF _Ref39225969 \w \h </w:instrText>
      </w:r>
      <w:r>
        <w:fldChar w:fldCharType="separate"/>
      </w:r>
      <w:r w:rsidR="00BE5F47">
        <w:t>5.2</w:t>
      </w:r>
      <w:r>
        <w:fldChar w:fldCharType="end"/>
      </w:r>
      <w:r>
        <w:t>.</w:t>
      </w:r>
    </w:p>
    <w:p w14:paraId="4644FA1A" w14:textId="77777777" w:rsidR="00F065BD" w:rsidRPr="00335041" w:rsidRDefault="00F065BD" w:rsidP="001765F1">
      <w:pPr>
        <w:pStyle w:val="Para0"/>
      </w:pPr>
    </w:p>
    <w:p w14:paraId="404C53C5" w14:textId="62BDD04E" w:rsidR="00F065BD" w:rsidRDefault="00F065BD" w:rsidP="00F065BD">
      <w:pPr>
        <w:pStyle w:val="Para0"/>
      </w:pPr>
      <w:bookmarkStart w:id="69" w:name="_Ref42784598"/>
      <w:r>
        <w:rPr>
          <w:noProof/>
        </w:rPr>
        <w:lastRenderedPageBreak/>
        <w:drawing>
          <wp:inline distT="0" distB="0" distL="0" distR="0" wp14:anchorId="26ED31A1" wp14:editId="1697B778">
            <wp:extent cx="6296660" cy="3916045"/>
            <wp:effectExtent l="0" t="0" r="8890" b="8255"/>
            <wp:docPr id="6154" name="Picture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96660" cy="3916045"/>
                    </a:xfrm>
                    <a:prstGeom prst="rect">
                      <a:avLst/>
                    </a:prstGeom>
                  </pic:spPr>
                </pic:pic>
              </a:graphicData>
            </a:graphic>
          </wp:inline>
        </w:drawing>
      </w:r>
    </w:p>
    <w:p w14:paraId="3F6C5861" w14:textId="299F7D51" w:rsidR="00F065BD" w:rsidRDefault="00252BBF" w:rsidP="00F065BD">
      <w:pPr>
        <w:pStyle w:val="Caption"/>
      </w:pPr>
      <w:bookmarkStart w:id="70" w:name="_Ref42879627"/>
      <w:r>
        <w:t>Figure</w:t>
      </w:r>
      <w:r w:rsidR="00F065BD">
        <w:t xml:space="preserve"> </w:t>
      </w:r>
      <w:r w:rsidR="00E67EC2">
        <w:fldChar w:fldCharType="begin"/>
      </w:r>
      <w:r w:rsidR="00E67EC2">
        <w:instrText xml:space="preserve"> STYLEREF 1 \s </w:instrText>
      </w:r>
      <w:r w:rsidR="00E67EC2">
        <w:fldChar w:fldCharType="separate"/>
      </w:r>
      <w:r w:rsidR="00BE5F47">
        <w:rPr>
          <w:noProof/>
        </w:rPr>
        <w:t>5</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2</w:t>
      </w:r>
      <w:r w:rsidR="00E67EC2">
        <w:fldChar w:fldCharType="end"/>
      </w:r>
      <w:bookmarkEnd w:id="69"/>
      <w:bookmarkEnd w:id="70"/>
      <w:r w:rsidR="00F065BD">
        <w:t>.Scenario modelling results for representative Wet, Dry, and Average years at Cardinia Creek Drop Structure (228230).</w:t>
      </w:r>
    </w:p>
    <w:p w14:paraId="2BA1A808" w14:textId="67446E64" w:rsidR="001765F1" w:rsidRDefault="00F065BD" w:rsidP="00F065BD">
      <w:pPr>
        <w:pStyle w:val="Heading3"/>
        <w:rPr>
          <w:lang w:val="en-AU"/>
        </w:rPr>
      </w:pPr>
      <w:bookmarkStart w:id="71" w:name="_Toc69480711"/>
      <w:r>
        <w:rPr>
          <w:lang w:val="en-AU"/>
        </w:rPr>
        <w:t>Hydraulic modelling</w:t>
      </w:r>
      <w:bookmarkEnd w:id="71"/>
    </w:p>
    <w:p w14:paraId="13E6A3E8" w14:textId="459ABD7D" w:rsidR="00F065BD" w:rsidRDefault="00F065BD" w:rsidP="00F065BD">
      <w:pPr>
        <w:pStyle w:val="Para0"/>
      </w:pPr>
      <w:r>
        <w:t>Hydraulic models were interrogated to identify flow volumes that commence inundation of backwaters and anabranches identified as known or potential habitat for dwarf galaxias and to extract flows that correlated to critical erosion thresholds at cross-section identified as at risk from excessive erosion.</w:t>
      </w:r>
      <w:r w:rsidR="00083C13" w:rsidRPr="00083C13">
        <w:t xml:space="preserve"> </w:t>
      </w:r>
      <w:r w:rsidR="00083C13">
        <w:t xml:space="preserve">Detailed results are provided in </w:t>
      </w:r>
      <w:r w:rsidR="00083C13">
        <w:fldChar w:fldCharType="begin"/>
      </w:r>
      <w:r w:rsidR="00083C13">
        <w:instrText xml:space="preserve"> ADDIN EN.CITE &lt;EndNote&gt;&lt;Cite AuthorYear="1"&gt;&lt;Author&gt;Jacobs&lt;/Author&gt;&lt;Year&gt;2020&lt;/Year&gt;&lt;RecNum&gt;3716&lt;/RecNum&gt;&lt;DisplayText&gt;Jacobs (2020)&lt;/DisplayText&gt;&lt;record&gt;&lt;rec-number&gt;3716&lt;/rec-number&gt;&lt;foreign-keys&gt;&lt;key app="EN" db-id="d0s2errflvze20evzxyvr9xzwfwste2v9tf2" timestamp="1591853894"&gt;3716&lt;/key&gt;&lt;/foreign-keys&gt;&lt;ref-type name="Report"&gt;27&lt;/ref-type&gt;&lt;contributors&gt;&lt;authors&gt;&lt;author&gt;Jacobs&lt;/author&gt;&lt;/authors&gt;&lt;tertiary-authors&gt;&lt;author&gt;Report prepared by Jacobs for Melbourne Water&lt;/author&gt;&lt;/tertiary-authors&gt;&lt;/contributors&gt;&lt;titles&gt;&lt;title&gt;Cardinia Creek Conservation Area Hydrology and Fish Investigation: Modelling Outcomes&lt;/title&gt;&lt;/titles&gt;&lt;dates&gt;&lt;year&gt;2020&lt;/year&gt;&lt;/dates&gt;&lt;urls&gt;&lt;/urls&gt;&lt;/record&gt;&lt;/Cite&gt;&lt;/EndNote&gt;</w:instrText>
      </w:r>
      <w:r w:rsidR="00083C13">
        <w:fldChar w:fldCharType="separate"/>
      </w:r>
      <w:r w:rsidR="00083C13">
        <w:rPr>
          <w:noProof/>
        </w:rPr>
        <w:t>Jacobs (2020)</w:t>
      </w:r>
      <w:r w:rsidR="00083C13">
        <w:fldChar w:fldCharType="end"/>
      </w:r>
      <w:r w:rsidR="00083C13">
        <w:t xml:space="preserve"> and summarised below.  </w:t>
      </w:r>
    </w:p>
    <w:p w14:paraId="1AB36D11" w14:textId="77777777" w:rsidR="00083C13" w:rsidRDefault="00083C13" w:rsidP="00083C13">
      <w:pPr>
        <w:pStyle w:val="Para0"/>
      </w:pPr>
      <w:r>
        <w:t xml:space="preserve">Flow thresholds that progressively inundate potential dwarf galaxias habitat were: </w:t>
      </w:r>
    </w:p>
    <w:p w14:paraId="19D85BA2" w14:textId="5E631898" w:rsidR="00083C13" w:rsidRDefault="00083C13" w:rsidP="00083C13">
      <w:pPr>
        <w:pStyle w:val="Para0bullet"/>
      </w:pPr>
      <w:r>
        <w:t>150 ML/d for commencement of inundation of low-lying backwater areas connected to the main channel</w:t>
      </w:r>
    </w:p>
    <w:p w14:paraId="1C400DFA" w14:textId="1C82E465" w:rsidR="00083C13" w:rsidRDefault="00083C13" w:rsidP="00083C13">
      <w:pPr>
        <w:pStyle w:val="Para0bullet"/>
      </w:pPr>
      <w:r>
        <w:t>250-350 ML/d for inundation of known dwarf galaxias habitat</w:t>
      </w:r>
    </w:p>
    <w:p w14:paraId="6064E52B" w14:textId="77777777" w:rsidR="00083C13" w:rsidRDefault="00083C13" w:rsidP="00083C13">
      <w:pPr>
        <w:pStyle w:val="Para0bullet"/>
      </w:pPr>
      <w:r>
        <w:t>750-1000 ML/d for broadscale inundation of potential habitats</w:t>
      </w:r>
    </w:p>
    <w:p w14:paraId="747DB3AB" w14:textId="034102EF" w:rsidR="00082ACE" w:rsidRPr="00083C13" w:rsidRDefault="00082ACE" w:rsidP="00083C13">
      <w:pPr>
        <w:pStyle w:val="Para0"/>
      </w:pPr>
      <w:r w:rsidRPr="00083C13">
        <w:t xml:space="preserve">Shear stresses and flow velocity were determined for all cross sections in the HEC RAS models.  Results were analysed for 2 reaches; Minta Farm to </w:t>
      </w:r>
      <w:r w:rsidR="00083C13">
        <w:t>Cardinia Drop Structure</w:t>
      </w:r>
      <w:r w:rsidRPr="00083C13">
        <w:t xml:space="preserve"> (Reach 1) and </w:t>
      </w:r>
      <w:r w:rsidR="00083C13">
        <w:t>Cardinia Drop Structure to McCormacks Road</w:t>
      </w:r>
      <w:r w:rsidR="00083C13" w:rsidRPr="00083C13">
        <w:t xml:space="preserve"> (Reach </w:t>
      </w:r>
      <w:r w:rsidR="00083C13">
        <w:t>2)</w:t>
      </w:r>
      <w:r w:rsidRPr="00083C13">
        <w:t>.  Shear stresses in Reach 1 tended to be lower compared to shear stresses in Reach 2 for the same flow magnitude</w:t>
      </w:r>
      <w:r w:rsidR="008421F3">
        <w:t xml:space="preserve"> (</w:t>
      </w:r>
      <w:r w:rsidR="008421F3">
        <w:fldChar w:fldCharType="begin"/>
      </w:r>
      <w:r w:rsidR="008421F3">
        <w:instrText xml:space="preserve"> REF _Ref42785756 \h </w:instrText>
      </w:r>
      <w:r w:rsidR="008421F3">
        <w:fldChar w:fldCharType="separate"/>
      </w:r>
      <w:r w:rsidR="00BE5F47">
        <w:t xml:space="preserve">Figure </w:t>
      </w:r>
      <w:r w:rsidR="00BE5F47">
        <w:rPr>
          <w:noProof/>
        </w:rPr>
        <w:t>5</w:t>
      </w:r>
      <w:r w:rsidR="00BE5F47">
        <w:noBreakHyphen/>
      </w:r>
      <w:r w:rsidR="00BE5F47">
        <w:rPr>
          <w:noProof/>
        </w:rPr>
        <w:t>3</w:t>
      </w:r>
      <w:r w:rsidR="008421F3">
        <w:fldChar w:fldCharType="end"/>
      </w:r>
      <w:r w:rsidR="008421F3">
        <w:t>)</w:t>
      </w:r>
      <w:r w:rsidRPr="00083C13">
        <w:t>.  This is consistent with the channel form of the creek with Reach 1 being a more meandering channel with connection to floodplain areas during higher flows compared to Reach 2, which is incised and has limited floodplain connection</w:t>
      </w:r>
    </w:p>
    <w:p w14:paraId="27586AD3" w14:textId="13D6E4B9" w:rsidR="00EC7557" w:rsidRDefault="008421F3" w:rsidP="00EC7557">
      <w:pPr>
        <w:pStyle w:val="Para0"/>
        <w:rPr>
          <w:lang w:val="en-AU"/>
        </w:rPr>
      </w:pPr>
      <w:r>
        <w:rPr>
          <w:noProof/>
        </w:rPr>
        <w:lastRenderedPageBreak/>
        <w:drawing>
          <wp:inline distT="0" distB="0" distL="0" distR="0" wp14:anchorId="36115297" wp14:editId="29E00A24">
            <wp:extent cx="4421066" cy="4971760"/>
            <wp:effectExtent l="19050" t="19050" r="17780" b="19685"/>
            <wp:docPr id="6158" name="Picture 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23240" cy="4974205"/>
                    </a:xfrm>
                    <a:prstGeom prst="rect">
                      <a:avLst/>
                    </a:prstGeom>
                    <a:ln>
                      <a:solidFill>
                        <a:schemeClr val="tx1"/>
                      </a:solidFill>
                    </a:ln>
                  </pic:spPr>
                </pic:pic>
              </a:graphicData>
            </a:graphic>
          </wp:inline>
        </w:drawing>
      </w:r>
    </w:p>
    <w:p w14:paraId="32D7A566" w14:textId="1C817C2C" w:rsidR="008421F3" w:rsidRDefault="00252BBF" w:rsidP="008421F3">
      <w:pPr>
        <w:pStyle w:val="Caption"/>
      </w:pPr>
      <w:bookmarkStart w:id="72" w:name="_Ref42785756"/>
      <w:r>
        <w:t>Figure</w:t>
      </w:r>
      <w:r w:rsidR="008421F3">
        <w:t xml:space="preserve"> </w:t>
      </w:r>
      <w:r w:rsidR="00E67EC2">
        <w:fldChar w:fldCharType="begin"/>
      </w:r>
      <w:r w:rsidR="00E67EC2">
        <w:instrText xml:space="preserve"> STYLEREF 1 \s </w:instrText>
      </w:r>
      <w:r w:rsidR="00E67EC2">
        <w:fldChar w:fldCharType="separate"/>
      </w:r>
      <w:r w:rsidR="00BE5F47">
        <w:rPr>
          <w:noProof/>
        </w:rPr>
        <w:t>5</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3</w:t>
      </w:r>
      <w:r w:rsidR="00E67EC2">
        <w:fldChar w:fldCharType="end"/>
      </w:r>
      <w:bookmarkEnd w:id="72"/>
      <w:r w:rsidR="008421F3">
        <w:t xml:space="preserve"> Average channel Shear Stress (A) and Velocity (B) for a range of flows in reaches upstream (Reach 1) and downstream (Reach 2) of Thompsons Road RB. </w:t>
      </w:r>
    </w:p>
    <w:p w14:paraId="5AEAD650" w14:textId="0EE79E43" w:rsidR="00854DBC" w:rsidRDefault="00BB7F95" w:rsidP="00626147">
      <w:pPr>
        <w:pStyle w:val="Heading2"/>
      </w:pPr>
      <w:bookmarkStart w:id="73" w:name="_Ref39225969"/>
      <w:bookmarkStart w:id="74" w:name="_Toc69480712"/>
      <w:r>
        <w:t>Risk assessment</w:t>
      </w:r>
      <w:bookmarkEnd w:id="73"/>
      <w:bookmarkEnd w:id="74"/>
    </w:p>
    <w:p w14:paraId="537CEF80" w14:textId="7901DD39" w:rsidR="007E5C5B" w:rsidRDefault="007E5C5B" w:rsidP="00A05FAB">
      <w:pPr>
        <w:pStyle w:val="Heading3"/>
      </w:pPr>
      <w:bookmarkStart w:id="75" w:name="_Toc69480713"/>
      <w:r>
        <w:t>Reach One – Minta Farm to Cardinia Creek drop structure</w:t>
      </w:r>
      <w:bookmarkEnd w:id="75"/>
    </w:p>
    <w:p w14:paraId="49B81DC8" w14:textId="61034A13" w:rsidR="0053085F" w:rsidRPr="007B4610" w:rsidRDefault="007E5C5B" w:rsidP="007B4610">
      <w:pPr>
        <w:pStyle w:val="Para0"/>
      </w:pPr>
      <w:r w:rsidRPr="001F4867">
        <w:rPr>
          <w:b/>
        </w:rPr>
        <w:t>Reach One</w:t>
      </w:r>
      <w:r>
        <w:t xml:space="preserve"> comprises the </w:t>
      </w:r>
      <w:r w:rsidR="00D95EBA">
        <w:t>stre</w:t>
      </w:r>
      <w:r w:rsidR="00AF6CCE">
        <w:t>t</w:t>
      </w:r>
      <w:r w:rsidR="00D95EBA">
        <w:t>ch</w:t>
      </w:r>
      <w:r>
        <w:t xml:space="preserve"> of Cardinia Creek from Princes Highway to the Cardinia Creek drop structure. It is the uppermost reach for this study, and includes the outfalls from Minta Farm North (MFN) and Minta Farm South</w:t>
      </w:r>
      <w:r w:rsidR="008421F3">
        <w:t xml:space="preserve"> (MFS) (see </w:t>
      </w:r>
      <w:r w:rsidR="008421F3">
        <w:fldChar w:fldCharType="begin"/>
      </w:r>
      <w:r w:rsidR="008421F3">
        <w:instrText xml:space="preserve"> REF _Ref42591723 \h </w:instrText>
      </w:r>
      <w:r w:rsidR="008421F3">
        <w:fldChar w:fldCharType="separate"/>
      </w:r>
      <w:r w:rsidR="00BE5F47">
        <w:t xml:space="preserve">Figure </w:t>
      </w:r>
      <w:r w:rsidR="00BE5F47">
        <w:rPr>
          <w:noProof/>
        </w:rPr>
        <w:t>2</w:t>
      </w:r>
      <w:r w:rsidR="00BE5F47">
        <w:noBreakHyphen/>
      </w:r>
      <w:r w:rsidR="00BE5F47">
        <w:rPr>
          <w:noProof/>
        </w:rPr>
        <w:t>2</w:t>
      </w:r>
      <w:r w:rsidR="008421F3">
        <w:fldChar w:fldCharType="end"/>
      </w:r>
      <w:r w:rsidR="008421F3">
        <w:t>)</w:t>
      </w:r>
      <w:r>
        <w:t xml:space="preserve">. </w:t>
      </w:r>
      <w:r w:rsidR="00D95EBA">
        <w:t xml:space="preserve"> </w:t>
      </w:r>
      <w:r w:rsidR="008421F3">
        <w:t>Dwarf</w:t>
      </w:r>
      <w:r>
        <w:t xml:space="preserve"> galaxias</w:t>
      </w:r>
      <w:r w:rsidR="00AF6CCE">
        <w:t xml:space="preserve"> have been recorded from anabranches of the creek in the Minta Farm area</w:t>
      </w:r>
      <w:r w:rsidR="008421F3">
        <w:t xml:space="preserve"> and upstream of Cardinia Drop Structure as </w:t>
      </w:r>
      <w:r w:rsidR="00AF6CCE">
        <w:t xml:space="preserve">detailed in Section </w:t>
      </w:r>
      <w:r w:rsidR="00AF6CCE">
        <w:fldChar w:fldCharType="begin"/>
      </w:r>
      <w:r w:rsidR="00AF6CCE">
        <w:instrText xml:space="preserve"> REF _Ref41470062 \w \h </w:instrText>
      </w:r>
      <w:r w:rsidR="00AF6CCE">
        <w:fldChar w:fldCharType="separate"/>
      </w:r>
      <w:r w:rsidR="00BE5F47">
        <w:t>3.1</w:t>
      </w:r>
      <w:r w:rsidR="00AF6CCE">
        <w:fldChar w:fldCharType="end"/>
      </w:r>
      <w:r w:rsidR="008421F3">
        <w:t>.</w:t>
      </w:r>
      <w:r w:rsidR="0073782E">
        <w:t xml:space="preserve"> </w:t>
      </w:r>
    </w:p>
    <w:p w14:paraId="209D72A3" w14:textId="3C770D98" w:rsidR="00343E0D" w:rsidRDefault="0073782E" w:rsidP="00631517">
      <w:pPr>
        <w:pStyle w:val="Para0"/>
      </w:pPr>
      <w:r>
        <w:t xml:space="preserve">A specific flow regime is required to maintain </w:t>
      </w:r>
      <w:r w:rsidR="007B4610">
        <w:t xml:space="preserve">the filling and drying regime that </w:t>
      </w:r>
      <w:r w:rsidR="008421F3">
        <w:t>maintains suitable</w:t>
      </w:r>
      <w:r w:rsidR="007B4610">
        <w:t xml:space="preserve"> </w:t>
      </w:r>
      <w:r>
        <w:t xml:space="preserve">habitat </w:t>
      </w:r>
      <w:r w:rsidR="007B4610">
        <w:t>c</w:t>
      </w:r>
      <w:r>
        <w:t xml:space="preserve">onditions for dwarf galaxias in </w:t>
      </w:r>
      <w:r w:rsidR="007B4610">
        <w:t>thi</w:t>
      </w:r>
      <w:r>
        <w:t>s</w:t>
      </w:r>
      <w:r w:rsidR="007B4610">
        <w:t xml:space="preserve"> reach</w:t>
      </w:r>
      <w:r>
        <w:t xml:space="preserve">. </w:t>
      </w:r>
      <w:r w:rsidR="00AF6CCE">
        <w:t>The focus of the risk assessment for this reach was an investigation of potential changes in flow which could affect critical dwarf galaxias habitat requirements</w:t>
      </w:r>
      <w:r w:rsidR="00631517">
        <w:t>, namely the frequency and duration of inundation of off-channel habitats</w:t>
      </w:r>
      <w:r w:rsidR="00343E0D">
        <w:t xml:space="preserve">. </w:t>
      </w:r>
      <w:r w:rsidR="00631517">
        <w:t xml:space="preserve"> </w:t>
      </w:r>
      <w:r w:rsidR="00343E0D">
        <w:t>To avoid impacts on critical habitats and values, there should be no change in the timing, frequency or duration of flows in Cardinia Creek that inundate these anabranches.</w:t>
      </w:r>
      <w:r w:rsidR="002F46FA">
        <w:t xml:space="preserve"> </w:t>
      </w:r>
      <w:r w:rsidR="00343E0D">
        <w:t xml:space="preserve">Increased </w:t>
      </w:r>
      <w:r w:rsidR="00343E0D" w:rsidRPr="003F0A8D">
        <w:t>frequency and duration of high flows that create continuous flow through anabranch habitats</w:t>
      </w:r>
      <w:r w:rsidR="00343E0D">
        <w:t xml:space="preserve"> (</w:t>
      </w:r>
      <w:r w:rsidR="00343E0D" w:rsidRPr="003F0A8D">
        <w:t>especially in summer and autumn</w:t>
      </w:r>
      <w:r w:rsidR="00343E0D">
        <w:t xml:space="preserve">) </w:t>
      </w:r>
      <w:r w:rsidR="00343E0D" w:rsidRPr="003F0A8D">
        <w:t>create unsuitable hydraulic conditions and favour colonisation by predatory mosquito fish</w:t>
      </w:r>
      <w:r w:rsidR="005B7398">
        <w:t>, and permanent inundation drowns vegetation that it critical to habitat quality</w:t>
      </w:r>
      <w:r w:rsidR="00343E0D">
        <w:t>. Reduced frequency and duration of flows (though unlikely to occur) could result in loss of habitat through reduced inundation of spawning habitats, and loss of refuge pools.</w:t>
      </w:r>
    </w:p>
    <w:p w14:paraId="3E514A2C" w14:textId="65ADB47C" w:rsidR="00C06AE5" w:rsidRDefault="00C06AE5" w:rsidP="00631517">
      <w:pPr>
        <w:pStyle w:val="Para0"/>
      </w:pPr>
      <w:r>
        <w:lastRenderedPageBreak/>
        <w:t>Results are presented for habitats located immediately downstream of the Minta Farm north outfall and for habitats located downstream of the cumulative impacts of Minta Farm north and south outfalls.</w:t>
      </w:r>
    </w:p>
    <w:p w14:paraId="6F7D33D1" w14:textId="58057D1E" w:rsidR="00A679F3" w:rsidRPr="00A679F3" w:rsidRDefault="00C06AE5" w:rsidP="00A05FAB">
      <w:pPr>
        <w:pStyle w:val="SectionSubheading2"/>
      </w:pPr>
      <w:r>
        <w:t>Low flow</w:t>
      </w:r>
      <w:r w:rsidR="00A679F3" w:rsidRPr="00A679F3">
        <w:t xml:space="preserve"> frequency</w:t>
      </w:r>
    </w:p>
    <w:p w14:paraId="4ADC939B" w14:textId="1D1E01D3" w:rsidR="00A05FAB" w:rsidRDefault="00C06AE5" w:rsidP="00B12F7A">
      <w:pPr>
        <w:pStyle w:val="Para0"/>
      </w:pPr>
      <w:r>
        <w:t>T</w:t>
      </w:r>
      <w:r w:rsidRPr="00FE22D7">
        <w:t xml:space="preserve">here is no significant change in the low flows in </w:t>
      </w:r>
      <w:r>
        <w:t>Reach 1, the results indicate that summer and winter low flows will remain below the levels that would regularly engage dwarf galaxias habitat</w:t>
      </w:r>
      <w:r w:rsidR="00B12F7A">
        <w:t xml:space="preserve"> (</w:t>
      </w:r>
      <w:r w:rsidR="0000576C">
        <w:fldChar w:fldCharType="begin"/>
      </w:r>
      <w:r w:rsidR="0000576C">
        <w:instrText xml:space="preserve"> REF _Ref42861492 \h </w:instrText>
      </w:r>
      <w:r w:rsidR="0000576C">
        <w:fldChar w:fldCharType="separate"/>
      </w:r>
      <w:r w:rsidR="00BE5F47">
        <w:t xml:space="preserve">Table </w:t>
      </w:r>
      <w:r w:rsidR="00BE5F47">
        <w:rPr>
          <w:noProof/>
        </w:rPr>
        <w:t>5</w:t>
      </w:r>
      <w:r w:rsidR="00BE5F47">
        <w:noBreakHyphen/>
      </w:r>
      <w:r w:rsidR="00BE5F47">
        <w:rPr>
          <w:noProof/>
        </w:rPr>
        <w:t>4</w:t>
      </w:r>
      <w:r w:rsidR="0000576C">
        <w:fldChar w:fldCharType="end"/>
      </w:r>
      <w:r w:rsidR="00B12F7A">
        <w:t>)</w:t>
      </w:r>
      <w:r>
        <w:t xml:space="preserve">. </w:t>
      </w:r>
      <w:r w:rsidR="00A05FAB">
        <w:t xml:space="preserve"> Specifically,</w:t>
      </w:r>
      <w:r w:rsidR="009E37CE">
        <w:t xml:space="preserve"> under current conditions, flows </w:t>
      </w:r>
      <w:r w:rsidR="00A05FAB">
        <w:t>through</w:t>
      </w:r>
      <w:r w:rsidR="009E37CE">
        <w:t xml:space="preserve"> Reach </w:t>
      </w:r>
      <w:r w:rsidR="00A05FAB">
        <w:t>1</w:t>
      </w:r>
      <w:r w:rsidR="009E37CE">
        <w:t xml:space="preserve"> are less than 100</w:t>
      </w:r>
      <w:r w:rsidR="00FA1B93">
        <w:t xml:space="preserve"> </w:t>
      </w:r>
      <w:r w:rsidR="009E37CE">
        <w:t>ML/d on 96% of days</w:t>
      </w:r>
      <w:r w:rsidR="00A05FAB">
        <w:t xml:space="preserve"> in summer</w:t>
      </w:r>
      <w:r w:rsidR="009E37CE">
        <w:t xml:space="preserve">, and </w:t>
      </w:r>
      <w:r w:rsidR="00A05FAB">
        <w:t>less than</w:t>
      </w:r>
      <w:r w:rsidR="009E37CE">
        <w:t xml:space="preserve"> 150</w:t>
      </w:r>
      <w:r w:rsidR="00FA1B93">
        <w:t xml:space="preserve"> </w:t>
      </w:r>
      <w:r w:rsidR="009E37CE">
        <w:t>ML/d on 98% of days</w:t>
      </w:r>
      <w:r w:rsidR="00A05FAB">
        <w:t xml:space="preserve"> in winter.  There is no increase in the percentage of time that flows exceed 100 ML/d or 150 ML/d downstream of the Minta </w:t>
      </w:r>
      <w:r w:rsidR="00FA1B93">
        <w:t>F</w:t>
      </w:r>
      <w:r w:rsidR="00A05FAB">
        <w:t xml:space="preserve">arm north outfall and only a 1-2% increase in the percentage of time that flows exceed 100 ML/d or 15 ML/d downstream of the cumulative impacts of Minta Farm north and south.  </w:t>
      </w:r>
    </w:p>
    <w:p w14:paraId="3FD971DC" w14:textId="5F7CC219" w:rsidR="002F46FA" w:rsidRDefault="00A05FAB" w:rsidP="00B12F7A">
      <w:pPr>
        <w:pStyle w:val="Para0"/>
      </w:pPr>
      <w:r>
        <w:t>The regime should retain the seasonal disconnection of dwarf galaxias habitat and retain the presence of still water wetland habitats in the anabranches and off-channel habitats in Reach 1.</w:t>
      </w:r>
    </w:p>
    <w:p w14:paraId="249AC895" w14:textId="616AD332" w:rsidR="0000576C" w:rsidRDefault="00425457" w:rsidP="0000576C">
      <w:pPr>
        <w:pStyle w:val="Caption"/>
      </w:pPr>
      <w:bookmarkStart w:id="76" w:name="_Ref42861492"/>
      <w:r>
        <w:t xml:space="preserve">Table </w:t>
      </w:r>
      <w:r w:rsidR="00E67EC2">
        <w:fldChar w:fldCharType="begin"/>
      </w:r>
      <w:r w:rsidR="00E67EC2">
        <w:instrText xml:space="preserve"> STYLEREF 1 \s </w:instrText>
      </w:r>
      <w:r w:rsidR="00E67EC2">
        <w:fldChar w:fldCharType="separate"/>
      </w:r>
      <w:r w:rsidR="00BE5F47">
        <w:rPr>
          <w:noProof/>
        </w:rPr>
        <w:t>5</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4</w:t>
      </w:r>
      <w:r w:rsidR="00E67EC2">
        <w:fldChar w:fldCharType="end"/>
      </w:r>
      <w:bookmarkEnd w:id="76"/>
      <w:r w:rsidR="0000576C">
        <w:t xml:space="preserve"> Current and modelled future occurrence of summer and winter low flow thresholds</w:t>
      </w:r>
    </w:p>
    <w:tbl>
      <w:tblPr>
        <w:tblStyle w:val="TableGrid"/>
        <w:tblW w:w="9919" w:type="dxa"/>
        <w:tblLook w:val="04A0" w:firstRow="1" w:lastRow="0" w:firstColumn="1" w:lastColumn="0" w:noHBand="0" w:noVBand="1"/>
      </w:tblPr>
      <w:tblGrid>
        <w:gridCol w:w="982"/>
        <w:gridCol w:w="1250"/>
        <w:gridCol w:w="2557"/>
        <w:gridCol w:w="1143"/>
        <w:gridCol w:w="1098"/>
        <w:gridCol w:w="1407"/>
        <w:gridCol w:w="1482"/>
      </w:tblGrid>
      <w:tr w:rsidR="0073782E" w:rsidRPr="00794C71" w14:paraId="56C3AB7D" w14:textId="77777777" w:rsidTr="0000576C">
        <w:trPr>
          <w:trHeight w:val="774"/>
        </w:trPr>
        <w:tc>
          <w:tcPr>
            <w:tcW w:w="982" w:type="dxa"/>
          </w:tcPr>
          <w:p w14:paraId="73086106" w14:textId="77777777" w:rsidR="0073782E" w:rsidRPr="00794C71" w:rsidRDefault="0073782E" w:rsidP="00DB3E13">
            <w:pPr>
              <w:pStyle w:val="Tablesmallheading"/>
              <w:spacing w:line="200" w:lineRule="atLeast"/>
              <w:rPr>
                <w:szCs w:val="16"/>
              </w:rPr>
            </w:pPr>
            <w:r w:rsidRPr="00794C71">
              <w:rPr>
                <w:szCs w:val="16"/>
              </w:rPr>
              <w:t>Season</w:t>
            </w:r>
          </w:p>
        </w:tc>
        <w:tc>
          <w:tcPr>
            <w:tcW w:w="1250" w:type="dxa"/>
          </w:tcPr>
          <w:p w14:paraId="237F08A2" w14:textId="77777777" w:rsidR="0073782E" w:rsidRPr="00794C71" w:rsidRDefault="0073782E" w:rsidP="00DB3E13">
            <w:pPr>
              <w:pStyle w:val="Tablesmallheading"/>
              <w:spacing w:line="200" w:lineRule="atLeast"/>
              <w:rPr>
                <w:szCs w:val="16"/>
              </w:rPr>
            </w:pPr>
            <w:r w:rsidRPr="00794C71">
              <w:rPr>
                <w:szCs w:val="16"/>
              </w:rPr>
              <w:t>Flow component</w:t>
            </w:r>
          </w:p>
        </w:tc>
        <w:tc>
          <w:tcPr>
            <w:tcW w:w="2557" w:type="dxa"/>
          </w:tcPr>
          <w:p w14:paraId="5B7B0697" w14:textId="2CA72367" w:rsidR="0073782E" w:rsidRPr="00794C71" w:rsidRDefault="0073782E" w:rsidP="00DB3E13">
            <w:pPr>
              <w:pStyle w:val="Tablesmallheading"/>
              <w:spacing w:line="200" w:lineRule="atLeast"/>
              <w:rPr>
                <w:szCs w:val="16"/>
              </w:rPr>
            </w:pPr>
            <w:r w:rsidRPr="00794C71">
              <w:rPr>
                <w:szCs w:val="16"/>
              </w:rPr>
              <w:t>Dwarf galaxias</w:t>
            </w:r>
            <w:r w:rsidR="00DB3E13">
              <w:rPr>
                <w:szCs w:val="16"/>
              </w:rPr>
              <w:t xml:space="preserve"> flow requirements</w:t>
            </w:r>
          </w:p>
        </w:tc>
        <w:tc>
          <w:tcPr>
            <w:tcW w:w="1143" w:type="dxa"/>
          </w:tcPr>
          <w:p w14:paraId="19B8C399" w14:textId="77777777" w:rsidR="0073782E" w:rsidRDefault="0073782E" w:rsidP="00DB3E13">
            <w:pPr>
              <w:pStyle w:val="Tablesmallheading"/>
              <w:spacing w:line="200" w:lineRule="atLeast"/>
              <w:rPr>
                <w:szCs w:val="16"/>
              </w:rPr>
            </w:pPr>
            <w:r>
              <w:rPr>
                <w:szCs w:val="16"/>
              </w:rPr>
              <w:t>Threshold</w:t>
            </w:r>
          </w:p>
        </w:tc>
        <w:tc>
          <w:tcPr>
            <w:tcW w:w="1098" w:type="dxa"/>
          </w:tcPr>
          <w:p w14:paraId="603477E8" w14:textId="77777777" w:rsidR="0073782E" w:rsidRDefault="0073782E" w:rsidP="00DB3E13">
            <w:pPr>
              <w:pStyle w:val="Tablesmallheading"/>
              <w:spacing w:line="200" w:lineRule="atLeast"/>
              <w:rPr>
                <w:szCs w:val="16"/>
              </w:rPr>
            </w:pPr>
            <w:r>
              <w:rPr>
                <w:szCs w:val="16"/>
              </w:rPr>
              <w:t>Current</w:t>
            </w:r>
          </w:p>
        </w:tc>
        <w:tc>
          <w:tcPr>
            <w:tcW w:w="1407" w:type="dxa"/>
          </w:tcPr>
          <w:p w14:paraId="57E8E961" w14:textId="77777777" w:rsidR="0073782E" w:rsidRDefault="0073782E" w:rsidP="00DB3E13">
            <w:pPr>
              <w:pStyle w:val="Tablesmallheading"/>
              <w:spacing w:line="200" w:lineRule="atLeast"/>
              <w:rPr>
                <w:szCs w:val="16"/>
              </w:rPr>
            </w:pPr>
            <w:r>
              <w:rPr>
                <w:szCs w:val="16"/>
              </w:rPr>
              <w:t>Minta Farm North PSP</w:t>
            </w:r>
          </w:p>
        </w:tc>
        <w:tc>
          <w:tcPr>
            <w:tcW w:w="1482" w:type="dxa"/>
          </w:tcPr>
          <w:p w14:paraId="1D4E0FDF" w14:textId="77777777" w:rsidR="0073782E" w:rsidRDefault="0073782E" w:rsidP="00DB3E13">
            <w:pPr>
              <w:pStyle w:val="Tablesmallheading"/>
              <w:spacing w:line="200" w:lineRule="atLeast"/>
              <w:rPr>
                <w:szCs w:val="16"/>
              </w:rPr>
            </w:pPr>
            <w:r>
              <w:rPr>
                <w:szCs w:val="16"/>
              </w:rPr>
              <w:t>Minta Farm North &amp; South PSPs (Cardinia Drop Structure)</w:t>
            </w:r>
          </w:p>
        </w:tc>
      </w:tr>
      <w:tr w:rsidR="0073782E" w:rsidRPr="00794C71" w14:paraId="3F2B37E2" w14:textId="77777777" w:rsidTr="0000576C">
        <w:trPr>
          <w:trHeight w:val="952"/>
        </w:trPr>
        <w:tc>
          <w:tcPr>
            <w:tcW w:w="982" w:type="dxa"/>
          </w:tcPr>
          <w:p w14:paraId="2B96AD35" w14:textId="77777777" w:rsidR="0073782E" w:rsidRPr="00794C71" w:rsidRDefault="0073782E" w:rsidP="00DB3E13">
            <w:pPr>
              <w:pStyle w:val="Tablesmallheading"/>
              <w:spacing w:line="200" w:lineRule="atLeast"/>
              <w:rPr>
                <w:szCs w:val="16"/>
              </w:rPr>
            </w:pPr>
            <w:r w:rsidRPr="00794C71">
              <w:rPr>
                <w:szCs w:val="16"/>
              </w:rPr>
              <w:t>Summer low flows</w:t>
            </w:r>
          </w:p>
        </w:tc>
        <w:tc>
          <w:tcPr>
            <w:tcW w:w="1250" w:type="dxa"/>
          </w:tcPr>
          <w:p w14:paraId="4E7F9914" w14:textId="77777777" w:rsidR="0073782E" w:rsidRPr="00794C71" w:rsidRDefault="0073782E" w:rsidP="00DB3E13">
            <w:pPr>
              <w:pStyle w:val="Tablesmalltext"/>
              <w:spacing w:line="200" w:lineRule="atLeast"/>
              <w:rPr>
                <w:szCs w:val="16"/>
              </w:rPr>
            </w:pPr>
            <w:r w:rsidRPr="00794C71">
              <w:rPr>
                <w:szCs w:val="16"/>
              </w:rPr>
              <w:t>Magnitude</w:t>
            </w:r>
            <w:r>
              <w:rPr>
                <w:szCs w:val="16"/>
              </w:rPr>
              <w:t xml:space="preserve"> </w:t>
            </w:r>
          </w:p>
        </w:tc>
        <w:tc>
          <w:tcPr>
            <w:tcW w:w="2557" w:type="dxa"/>
          </w:tcPr>
          <w:p w14:paraId="10207168" w14:textId="77777777" w:rsidR="0073782E" w:rsidRPr="00794C71" w:rsidRDefault="0073782E" w:rsidP="00DB3E13">
            <w:pPr>
              <w:pStyle w:val="Tablesmalltext"/>
              <w:spacing w:line="200" w:lineRule="atLeast"/>
              <w:rPr>
                <w:szCs w:val="16"/>
              </w:rPr>
            </w:pPr>
            <w:r w:rsidRPr="00794C71">
              <w:rPr>
                <w:szCs w:val="16"/>
              </w:rPr>
              <w:t>Low flows that disconnect floodplain wetland habitats and anabranch systems so that seasonal drying occurs, but sufficient to maintain moisture in the sub soils and in crayfish burrows</w:t>
            </w:r>
            <w:r>
              <w:rPr>
                <w:szCs w:val="16"/>
              </w:rPr>
              <w:t xml:space="preserve"> (percentage of time below specific magnitudes)</w:t>
            </w:r>
          </w:p>
        </w:tc>
        <w:tc>
          <w:tcPr>
            <w:tcW w:w="1143" w:type="dxa"/>
          </w:tcPr>
          <w:p w14:paraId="47AB4DCA" w14:textId="77777777" w:rsidR="0073782E" w:rsidRPr="008E2265" w:rsidRDefault="0073782E" w:rsidP="00DB3E13">
            <w:pPr>
              <w:pStyle w:val="Tablesmalltext"/>
              <w:spacing w:line="200" w:lineRule="atLeast"/>
              <w:rPr>
                <w:b/>
                <w:szCs w:val="16"/>
              </w:rPr>
            </w:pPr>
            <w:r w:rsidRPr="008E2265">
              <w:rPr>
                <w:b/>
                <w:szCs w:val="16"/>
              </w:rPr>
              <w:t>&lt; 100 ML/d</w:t>
            </w:r>
          </w:p>
        </w:tc>
        <w:tc>
          <w:tcPr>
            <w:tcW w:w="1098" w:type="dxa"/>
          </w:tcPr>
          <w:p w14:paraId="11D42244" w14:textId="77777777" w:rsidR="0073782E" w:rsidRPr="00794C71" w:rsidRDefault="0073782E" w:rsidP="00DB3E13">
            <w:pPr>
              <w:pStyle w:val="Tablesmalltext"/>
              <w:spacing w:line="200" w:lineRule="atLeast"/>
              <w:rPr>
                <w:szCs w:val="16"/>
              </w:rPr>
            </w:pPr>
            <w:r>
              <w:rPr>
                <w:szCs w:val="16"/>
              </w:rPr>
              <w:t>96% of time</w:t>
            </w:r>
          </w:p>
        </w:tc>
        <w:tc>
          <w:tcPr>
            <w:tcW w:w="1407" w:type="dxa"/>
            <w:shd w:val="clear" w:color="auto" w:fill="92D050"/>
          </w:tcPr>
          <w:p w14:paraId="1233430D" w14:textId="77777777" w:rsidR="0073782E" w:rsidRPr="00790B50" w:rsidRDefault="0073782E" w:rsidP="00DB3E13">
            <w:pPr>
              <w:pStyle w:val="Tablesmalltext"/>
              <w:spacing w:line="200" w:lineRule="atLeast"/>
              <w:rPr>
                <w:b/>
                <w:szCs w:val="16"/>
              </w:rPr>
            </w:pPr>
            <w:r>
              <w:rPr>
                <w:szCs w:val="16"/>
              </w:rPr>
              <w:t>96% of time</w:t>
            </w:r>
          </w:p>
        </w:tc>
        <w:tc>
          <w:tcPr>
            <w:tcW w:w="1482" w:type="dxa"/>
            <w:shd w:val="clear" w:color="auto" w:fill="92D050"/>
          </w:tcPr>
          <w:p w14:paraId="53A013FA" w14:textId="77777777" w:rsidR="0073782E" w:rsidRPr="00790B50" w:rsidRDefault="0073782E" w:rsidP="00DB3E13">
            <w:pPr>
              <w:pStyle w:val="Tablesmalltext"/>
              <w:spacing w:line="200" w:lineRule="atLeast"/>
              <w:rPr>
                <w:b/>
                <w:szCs w:val="16"/>
              </w:rPr>
            </w:pPr>
            <w:r>
              <w:rPr>
                <w:szCs w:val="16"/>
              </w:rPr>
              <w:t>94% of time</w:t>
            </w:r>
          </w:p>
        </w:tc>
      </w:tr>
      <w:tr w:rsidR="0073782E" w:rsidRPr="00794C71" w14:paraId="3FA7E679" w14:textId="77777777" w:rsidTr="0000576C">
        <w:trPr>
          <w:trHeight w:val="774"/>
        </w:trPr>
        <w:tc>
          <w:tcPr>
            <w:tcW w:w="982" w:type="dxa"/>
          </w:tcPr>
          <w:p w14:paraId="780BBFAD" w14:textId="77777777" w:rsidR="0073782E" w:rsidRPr="00794C71" w:rsidRDefault="0073782E" w:rsidP="00DB3E13">
            <w:pPr>
              <w:pStyle w:val="Tablesmallheading"/>
              <w:spacing w:line="200" w:lineRule="atLeast"/>
              <w:rPr>
                <w:szCs w:val="16"/>
              </w:rPr>
            </w:pPr>
            <w:r w:rsidRPr="00794C71">
              <w:rPr>
                <w:szCs w:val="16"/>
              </w:rPr>
              <w:t>Winter low flows</w:t>
            </w:r>
          </w:p>
        </w:tc>
        <w:tc>
          <w:tcPr>
            <w:tcW w:w="1250" w:type="dxa"/>
          </w:tcPr>
          <w:p w14:paraId="75C5433C" w14:textId="77777777" w:rsidR="0073782E" w:rsidRPr="00794C71" w:rsidRDefault="0073782E" w:rsidP="00DB3E13">
            <w:pPr>
              <w:pStyle w:val="Tablesmalltext"/>
              <w:spacing w:line="200" w:lineRule="atLeast"/>
              <w:rPr>
                <w:szCs w:val="16"/>
              </w:rPr>
            </w:pPr>
            <w:r w:rsidRPr="00794C71">
              <w:rPr>
                <w:szCs w:val="16"/>
              </w:rPr>
              <w:t>Magnitude</w:t>
            </w:r>
            <w:r>
              <w:rPr>
                <w:szCs w:val="16"/>
              </w:rPr>
              <w:t xml:space="preserve"> </w:t>
            </w:r>
          </w:p>
        </w:tc>
        <w:tc>
          <w:tcPr>
            <w:tcW w:w="2557" w:type="dxa"/>
          </w:tcPr>
          <w:p w14:paraId="2BB14A83" w14:textId="77777777" w:rsidR="0073782E" w:rsidRPr="00794C71" w:rsidRDefault="0073782E" w:rsidP="00DB3E13">
            <w:pPr>
              <w:pStyle w:val="Tablesmalltext"/>
              <w:spacing w:line="200" w:lineRule="atLeast"/>
              <w:rPr>
                <w:szCs w:val="16"/>
              </w:rPr>
            </w:pPr>
            <w:r>
              <w:rPr>
                <w:szCs w:val="16"/>
              </w:rPr>
              <w:t>Winter low flows, m</w:t>
            </w:r>
            <w:r w:rsidRPr="00794C71">
              <w:rPr>
                <w:szCs w:val="16"/>
              </w:rPr>
              <w:t>aybe higher than summer flows but not continuously above invert levels to off</w:t>
            </w:r>
            <w:r>
              <w:rPr>
                <w:szCs w:val="16"/>
              </w:rPr>
              <w:t>-</w:t>
            </w:r>
            <w:r w:rsidRPr="00794C71">
              <w:rPr>
                <w:szCs w:val="16"/>
              </w:rPr>
              <w:t>channel habitats</w:t>
            </w:r>
            <w:r>
              <w:rPr>
                <w:szCs w:val="16"/>
              </w:rPr>
              <w:t>.</w:t>
            </w:r>
          </w:p>
        </w:tc>
        <w:tc>
          <w:tcPr>
            <w:tcW w:w="1143" w:type="dxa"/>
          </w:tcPr>
          <w:p w14:paraId="4B8444DA" w14:textId="77777777" w:rsidR="0073782E" w:rsidRPr="008E2265" w:rsidRDefault="0073782E" w:rsidP="00DB3E13">
            <w:pPr>
              <w:pStyle w:val="Tablesmalltext"/>
              <w:spacing w:line="200" w:lineRule="atLeast"/>
              <w:rPr>
                <w:b/>
                <w:szCs w:val="16"/>
              </w:rPr>
            </w:pPr>
            <w:r w:rsidRPr="008E2265">
              <w:rPr>
                <w:b/>
                <w:szCs w:val="16"/>
              </w:rPr>
              <w:t>&lt;150 ML/d</w:t>
            </w:r>
          </w:p>
        </w:tc>
        <w:tc>
          <w:tcPr>
            <w:tcW w:w="1098" w:type="dxa"/>
          </w:tcPr>
          <w:p w14:paraId="2C52410E" w14:textId="77777777" w:rsidR="0073782E" w:rsidRPr="00794C71" w:rsidRDefault="0073782E" w:rsidP="00DB3E13">
            <w:pPr>
              <w:pStyle w:val="Tablesmalltext"/>
              <w:spacing w:line="200" w:lineRule="atLeast"/>
              <w:rPr>
                <w:szCs w:val="16"/>
              </w:rPr>
            </w:pPr>
            <w:r>
              <w:rPr>
                <w:szCs w:val="16"/>
              </w:rPr>
              <w:t>98% of time</w:t>
            </w:r>
          </w:p>
        </w:tc>
        <w:tc>
          <w:tcPr>
            <w:tcW w:w="1407" w:type="dxa"/>
            <w:shd w:val="clear" w:color="auto" w:fill="92D050"/>
          </w:tcPr>
          <w:p w14:paraId="6A96721A" w14:textId="77777777" w:rsidR="0073782E" w:rsidRPr="00790B50" w:rsidRDefault="0073782E" w:rsidP="00DB3E13">
            <w:pPr>
              <w:pStyle w:val="Tablesmalltext"/>
              <w:spacing w:line="200" w:lineRule="atLeast"/>
              <w:rPr>
                <w:b/>
                <w:szCs w:val="16"/>
              </w:rPr>
            </w:pPr>
            <w:r>
              <w:rPr>
                <w:szCs w:val="16"/>
              </w:rPr>
              <w:t>98% of time</w:t>
            </w:r>
          </w:p>
        </w:tc>
        <w:tc>
          <w:tcPr>
            <w:tcW w:w="1482" w:type="dxa"/>
            <w:shd w:val="clear" w:color="auto" w:fill="92D050"/>
          </w:tcPr>
          <w:p w14:paraId="28A43C3E" w14:textId="77777777" w:rsidR="0073782E" w:rsidRPr="00790B50" w:rsidRDefault="0073782E" w:rsidP="00DB3E13">
            <w:pPr>
              <w:pStyle w:val="Tablesmalltext"/>
              <w:spacing w:line="200" w:lineRule="atLeast"/>
              <w:rPr>
                <w:b/>
                <w:szCs w:val="16"/>
              </w:rPr>
            </w:pPr>
            <w:r>
              <w:rPr>
                <w:szCs w:val="16"/>
              </w:rPr>
              <w:t>97% of time</w:t>
            </w:r>
          </w:p>
        </w:tc>
      </w:tr>
    </w:tbl>
    <w:p w14:paraId="14825399" w14:textId="4E888D88" w:rsidR="00A679F3" w:rsidRDefault="00A679F3" w:rsidP="00A05FAB">
      <w:pPr>
        <w:pStyle w:val="SectionSubheading2"/>
      </w:pPr>
      <w:r w:rsidRPr="00A679F3">
        <w:t>Anabranch inundation</w:t>
      </w:r>
    </w:p>
    <w:p w14:paraId="12E44064" w14:textId="5238A46D" w:rsidR="0050131E" w:rsidRDefault="0050131E" w:rsidP="0050131E">
      <w:pPr>
        <w:pStyle w:val="Para0"/>
      </w:pPr>
      <w:r w:rsidRPr="00CE417D">
        <w:t>Backwaters areas</w:t>
      </w:r>
      <w:r>
        <w:t xml:space="preserve"> </w:t>
      </w:r>
      <w:r w:rsidRPr="0074775B">
        <w:t xml:space="preserve">inundate progressively from 150 ML/d. </w:t>
      </w:r>
      <w:r>
        <w:t xml:space="preserve"> </w:t>
      </w:r>
      <w:r w:rsidRPr="0074775B">
        <w:t>Known</w:t>
      </w:r>
      <w:r>
        <w:t xml:space="preserve"> anabranch and wetland</w:t>
      </w:r>
      <w:r w:rsidRPr="0074775B">
        <w:t xml:space="preserve"> </w:t>
      </w:r>
      <w:r>
        <w:t>habitats</w:t>
      </w:r>
      <w:r w:rsidRPr="0074775B">
        <w:t xml:space="preserve"> for dwarf galaxias inundate at 250-500 ML/d</w:t>
      </w:r>
      <w:r>
        <w:t xml:space="preserve"> (see Section </w:t>
      </w:r>
      <w:r>
        <w:fldChar w:fldCharType="begin"/>
      </w:r>
      <w:r>
        <w:instrText xml:space="preserve"> REF _Ref42763687 \w \h </w:instrText>
      </w:r>
      <w:r>
        <w:fldChar w:fldCharType="separate"/>
      </w:r>
      <w:r w:rsidR="00BE5F47">
        <w:t>4.3</w:t>
      </w:r>
      <w:r>
        <w:fldChar w:fldCharType="end"/>
      </w:r>
      <w:r>
        <w:t>)</w:t>
      </w:r>
      <w:r w:rsidRPr="0074775B">
        <w:t xml:space="preserve">.  </w:t>
      </w:r>
    </w:p>
    <w:p w14:paraId="0A20799C" w14:textId="1633B777" w:rsidR="0050131E" w:rsidRDefault="0050131E" w:rsidP="00A1631C">
      <w:pPr>
        <w:pStyle w:val="Para0"/>
      </w:pPr>
      <w:r>
        <w:fldChar w:fldCharType="begin"/>
      </w:r>
      <w:r>
        <w:instrText xml:space="preserve"> REF _Ref41485461 \h </w:instrText>
      </w:r>
      <w:r>
        <w:fldChar w:fldCharType="separate"/>
      </w:r>
      <w:r w:rsidR="00BE5F47">
        <w:t xml:space="preserve">Table </w:t>
      </w:r>
      <w:r w:rsidR="00BE5F47">
        <w:rPr>
          <w:noProof/>
        </w:rPr>
        <w:t>5</w:t>
      </w:r>
      <w:r w:rsidR="00BE5F47">
        <w:noBreakHyphen/>
      </w:r>
      <w:r w:rsidR="00BE5F47">
        <w:rPr>
          <w:noProof/>
        </w:rPr>
        <w:t>5</w:t>
      </w:r>
      <w:r>
        <w:fldChar w:fldCharType="end"/>
      </w:r>
      <w:r>
        <w:t xml:space="preserve"> shows the frequency of occurrence of flows ranging from 150-1000 ML/d.  The time exceeded, mean duration of flows above the threshold and mean interval between flow events is also shown for current and post development conditions </w:t>
      </w:r>
      <w:r w:rsidRPr="00A1631C">
        <w:t>immediately</w:t>
      </w:r>
      <w:r>
        <w:t xml:space="preserve"> downstream of Minta Farm north and downstream of both Minta farm north and Minta Farm south outfalls. </w:t>
      </w:r>
    </w:p>
    <w:p w14:paraId="4F743DE3" w14:textId="1F92088D" w:rsidR="00A1631C" w:rsidRDefault="00A1631C" w:rsidP="0050131E">
      <w:pPr>
        <w:pStyle w:val="Para0"/>
      </w:pPr>
      <w:r>
        <w:t xml:space="preserve">There is very little change in the frequency or duration of flows that would inundate known dwarf galaxias habitat.  </w:t>
      </w:r>
      <w:r w:rsidR="0035403A">
        <w:t>For example, u</w:t>
      </w:r>
      <w:r w:rsidR="0050131E">
        <w:t xml:space="preserve">nder current conditions, flows of greater than </w:t>
      </w:r>
      <w:r>
        <w:t>250 ML/d occur every 0.3 years (Average Recurrence Interval (ARI)=0.3) (i.e. ~once every 4 months) and last for an average of 4.2 days.  Under full-development conditions there is no change in the frequency of flows above 250 ML/d although when they do occur, they may last for a little longer (i.e. mean 4.2 days under current condition compared with mean 4.8 days under full-development conditions downstream of the combined Minta Farm north and south outfalls).</w:t>
      </w:r>
    </w:p>
    <w:p w14:paraId="6870BC34" w14:textId="0388768A" w:rsidR="0035403A" w:rsidRDefault="0035403A" w:rsidP="0035403A">
      <w:pPr>
        <w:pStyle w:val="Para0"/>
      </w:pPr>
      <w:r>
        <w:t xml:space="preserve">The slight increase in the duration of events occurs across all flow thresholds, indicating that development results in an extension in the duration of runoff entering Cardinia Creek.  This extension in duration is only evident for the combined Minta farm north and Minta Farm south outfalls. </w:t>
      </w:r>
    </w:p>
    <w:p w14:paraId="25384CB9" w14:textId="6CC3F845" w:rsidR="0000576C" w:rsidRDefault="00425457" w:rsidP="0000576C">
      <w:pPr>
        <w:pStyle w:val="Caption"/>
      </w:pPr>
      <w:bookmarkStart w:id="77" w:name="_Ref41485461"/>
      <w:r>
        <w:lastRenderedPageBreak/>
        <w:t xml:space="preserve">Table </w:t>
      </w:r>
      <w:r w:rsidR="00E67EC2">
        <w:fldChar w:fldCharType="begin"/>
      </w:r>
      <w:r w:rsidR="00E67EC2">
        <w:instrText xml:space="preserve"> STYLEREF 1 \s </w:instrText>
      </w:r>
      <w:r w:rsidR="00E67EC2">
        <w:fldChar w:fldCharType="separate"/>
      </w:r>
      <w:r w:rsidR="00BE5F47">
        <w:rPr>
          <w:noProof/>
        </w:rPr>
        <w:t>5</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5</w:t>
      </w:r>
      <w:r w:rsidR="00E67EC2">
        <w:fldChar w:fldCharType="end"/>
      </w:r>
      <w:bookmarkEnd w:id="77"/>
      <w:r w:rsidR="0000576C">
        <w:t xml:space="preserve"> Anabranch inundation flows.  The red box indicates flow thresholds that inundated known dwarf galaxias habitat </w:t>
      </w:r>
      <w:r w:rsidR="0000576C" w:rsidRPr="00A679F3">
        <w:t xml:space="preserve"> </w:t>
      </w:r>
    </w:p>
    <w:tbl>
      <w:tblPr>
        <w:tblW w:w="10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642"/>
        <w:gridCol w:w="928"/>
        <w:gridCol w:w="856"/>
        <w:gridCol w:w="762"/>
        <w:gridCol w:w="641"/>
        <w:gridCol w:w="928"/>
        <w:gridCol w:w="870"/>
        <w:gridCol w:w="762"/>
        <w:gridCol w:w="673"/>
        <w:gridCol w:w="928"/>
        <w:gridCol w:w="819"/>
        <w:gridCol w:w="790"/>
      </w:tblGrid>
      <w:tr w:rsidR="00FF3AAE" w:rsidRPr="00780A49" w14:paraId="114FC56F" w14:textId="77777777" w:rsidTr="0035403A">
        <w:trPr>
          <w:trHeight w:val="414"/>
        </w:trPr>
        <w:tc>
          <w:tcPr>
            <w:tcW w:w="876" w:type="dxa"/>
            <w:tcBorders>
              <w:top w:val="single" w:sz="12" w:space="0" w:color="auto"/>
              <w:left w:val="single" w:sz="12" w:space="0" w:color="auto"/>
              <w:right w:val="single" w:sz="12" w:space="0" w:color="auto"/>
            </w:tcBorders>
            <w:shd w:val="clear" w:color="auto" w:fill="auto"/>
            <w:vAlign w:val="center"/>
            <w:hideMark/>
          </w:tcPr>
          <w:p w14:paraId="410A8677"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Flow threshold</w:t>
            </w:r>
          </w:p>
        </w:tc>
        <w:tc>
          <w:tcPr>
            <w:tcW w:w="3188" w:type="dxa"/>
            <w:gridSpan w:val="4"/>
            <w:tcBorders>
              <w:top w:val="single" w:sz="12" w:space="0" w:color="auto"/>
              <w:left w:val="single" w:sz="12" w:space="0" w:color="auto"/>
              <w:right w:val="single" w:sz="12" w:space="0" w:color="auto"/>
            </w:tcBorders>
            <w:shd w:val="clear" w:color="auto" w:fill="auto"/>
            <w:vAlign w:val="center"/>
            <w:hideMark/>
          </w:tcPr>
          <w:p w14:paraId="4BD55461"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Current</w:t>
            </w:r>
          </w:p>
        </w:tc>
        <w:tc>
          <w:tcPr>
            <w:tcW w:w="3201" w:type="dxa"/>
            <w:gridSpan w:val="4"/>
            <w:tcBorders>
              <w:top w:val="single" w:sz="12" w:space="0" w:color="auto"/>
              <w:left w:val="single" w:sz="12" w:space="0" w:color="auto"/>
              <w:right w:val="single" w:sz="12" w:space="0" w:color="auto"/>
            </w:tcBorders>
            <w:vAlign w:val="center"/>
          </w:tcPr>
          <w:p w14:paraId="5212DC36"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Post-development Minta Farm north</w:t>
            </w:r>
          </w:p>
        </w:tc>
        <w:tc>
          <w:tcPr>
            <w:tcW w:w="3210" w:type="dxa"/>
            <w:gridSpan w:val="4"/>
            <w:tcBorders>
              <w:top w:val="single" w:sz="12" w:space="0" w:color="auto"/>
              <w:left w:val="single" w:sz="12" w:space="0" w:color="auto"/>
              <w:right w:val="single" w:sz="12" w:space="0" w:color="auto"/>
            </w:tcBorders>
            <w:vAlign w:val="center"/>
          </w:tcPr>
          <w:p w14:paraId="3896EEB1"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 xml:space="preserve">Post-development Minta Farm north </w:t>
            </w:r>
            <w:r>
              <w:rPr>
                <w:rFonts w:ascii="Arial" w:eastAsia="Times New Roman" w:hAnsi="Arial" w:cs="Arial"/>
                <w:color w:val="000000"/>
                <w:sz w:val="16"/>
                <w:szCs w:val="16"/>
                <w:lang w:eastAsia="en-AU"/>
              </w:rPr>
              <w:t>&amp;</w:t>
            </w:r>
            <w:r w:rsidRPr="00780A49">
              <w:rPr>
                <w:rFonts w:ascii="Arial" w:eastAsia="Times New Roman" w:hAnsi="Arial" w:cs="Arial"/>
                <w:color w:val="000000"/>
                <w:sz w:val="16"/>
                <w:szCs w:val="16"/>
                <w:lang w:eastAsia="en-AU"/>
              </w:rPr>
              <w:t xml:space="preserve"> Minta Farm South</w:t>
            </w:r>
          </w:p>
        </w:tc>
      </w:tr>
      <w:tr w:rsidR="00FF3AAE" w:rsidRPr="00780A49" w14:paraId="6ADC2CAD" w14:textId="77777777" w:rsidTr="0035403A">
        <w:trPr>
          <w:trHeight w:val="414"/>
        </w:trPr>
        <w:tc>
          <w:tcPr>
            <w:tcW w:w="876" w:type="dxa"/>
            <w:tcBorders>
              <w:left w:val="single" w:sz="12" w:space="0" w:color="auto"/>
              <w:right w:val="single" w:sz="12" w:space="0" w:color="auto"/>
            </w:tcBorders>
            <w:shd w:val="clear" w:color="auto" w:fill="auto"/>
            <w:vAlign w:val="center"/>
            <w:hideMark/>
          </w:tcPr>
          <w:p w14:paraId="3C55F197"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ML/d</w:t>
            </w:r>
          </w:p>
        </w:tc>
        <w:tc>
          <w:tcPr>
            <w:tcW w:w="642" w:type="dxa"/>
            <w:tcBorders>
              <w:left w:val="single" w:sz="12" w:space="0" w:color="auto"/>
            </w:tcBorders>
            <w:shd w:val="clear" w:color="auto" w:fill="auto"/>
            <w:vAlign w:val="center"/>
            <w:hideMark/>
          </w:tcPr>
          <w:p w14:paraId="48220585"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ARI</w:t>
            </w:r>
          </w:p>
        </w:tc>
        <w:tc>
          <w:tcPr>
            <w:tcW w:w="928" w:type="dxa"/>
            <w:shd w:val="clear" w:color="auto" w:fill="auto"/>
            <w:vAlign w:val="center"/>
            <w:hideMark/>
          </w:tcPr>
          <w:p w14:paraId="5C3AAD16"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Time Exceeded</w:t>
            </w:r>
          </w:p>
        </w:tc>
        <w:tc>
          <w:tcPr>
            <w:tcW w:w="856" w:type="dxa"/>
            <w:shd w:val="clear" w:color="auto" w:fill="auto"/>
            <w:vAlign w:val="center"/>
            <w:hideMark/>
          </w:tcPr>
          <w:p w14:paraId="520F02CD"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Mean duration (d)</w:t>
            </w:r>
          </w:p>
        </w:tc>
        <w:tc>
          <w:tcPr>
            <w:tcW w:w="762" w:type="dxa"/>
            <w:tcBorders>
              <w:right w:val="single" w:sz="12" w:space="0" w:color="auto"/>
            </w:tcBorders>
            <w:shd w:val="clear" w:color="auto" w:fill="auto"/>
            <w:vAlign w:val="center"/>
            <w:hideMark/>
          </w:tcPr>
          <w:p w14:paraId="24EB5C33"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Mean interval (d)</w:t>
            </w:r>
          </w:p>
        </w:tc>
        <w:tc>
          <w:tcPr>
            <w:tcW w:w="641" w:type="dxa"/>
            <w:tcBorders>
              <w:left w:val="single" w:sz="12" w:space="0" w:color="auto"/>
            </w:tcBorders>
            <w:shd w:val="clear" w:color="auto" w:fill="auto"/>
            <w:vAlign w:val="center"/>
            <w:hideMark/>
          </w:tcPr>
          <w:p w14:paraId="743CCF50"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ARI</w:t>
            </w:r>
          </w:p>
        </w:tc>
        <w:tc>
          <w:tcPr>
            <w:tcW w:w="928" w:type="dxa"/>
            <w:shd w:val="clear" w:color="auto" w:fill="auto"/>
            <w:vAlign w:val="center"/>
            <w:hideMark/>
          </w:tcPr>
          <w:p w14:paraId="5BEA3881"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Time Exceeded</w:t>
            </w:r>
          </w:p>
        </w:tc>
        <w:tc>
          <w:tcPr>
            <w:tcW w:w="870" w:type="dxa"/>
            <w:shd w:val="clear" w:color="auto" w:fill="auto"/>
            <w:vAlign w:val="center"/>
            <w:hideMark/>
          </w:tcPr>
          <w:p w14:paraId="4386A439"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Mean duration (d)</w:t>
            </w:r>
          </w:p>
        </w:tc>
        <w:tc>
          <w:tcPr>
            <w:tcW w:w="762" w:type="dxa"/>
            <w:tcBorders>
              <w:right w:val="single" w:sz="12" w:space="0" w:color="auto"/>
            </w:tcBorders>
            <w:shd w:val="clear" w:color="auto" w:fill="auto"/>
            <w:vAlign w:val="center"/>
            <w:hideMark/>
          </w:tcPr>
          <w:p w14:paraId="1F57061C"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Mean interval (d)</w:t>
            </w:r>
          </w:p>
        </w:tc>
        <w:tc>
          <w:tcPr>
            <w:tcW w:w="673" w:type="dxa"/>
            <w:tcBorders>
              <w:left w:val="single" w:sz="12" w:space="0" w:color="auto"/>
            </w:tcBorders>
            <w:vAlign w:val="center"/>
          </w:tcPr>
          <w:p w14:paraId="68922D1F"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ARI</w:t>
            </w:r>
          </w:p>
        </w:tc>
        <w:tc>
          <w:tcPr>
            <w:tcW w:w="928" w:type="dxa"/>
            <w:vAlign w:val="center"/>
          </w:tcPr>
          <w:p w14:paraId="4AD9ED01"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Time Exceeded</w:t>
            </w:r>
          </w:p>
        </w:tc>
        <w:tc>
          <w:tcPr>
            <w:tcW w:w="819" w:type="dxa"/>
            <w:vAlign w:val="center"/>
          </w:tcPr>
          <w:p w14:paraId="25662B0A"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Mean duration (d)</w:t>
            </w:r>
          </w:p>
        </w:tc>
        <w:tc>
          <w:tcPr>
            <w:tcW w:w="790" w:type="dxa"/>
            <w:tcBorders>
              <w:right w:val="single" w:sz="12" w:space="0" w:color="auto"/>
            </w:tcBorders>
            <w:vAlign w:val="center"/>
          </w:tcPr>
          <w:p w14:paraId="5B8DD2C8"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Mean interval (d)</w:t>
            </w:r>
          </w:p>
        </w:tc>
      </w:tr>
      <w:tr w:rsidR="00FF3AAE" w:rsidRPr="00780A49" w14:paraId="1A9E6AB7" w14:textId="77777777" w:rsidTr="0035403A">
        <w:trPr>
          <w:trHeight w:val="276"/>
        </w:trPr>
        <w:tc>
          <w:tcPr>
            <w:tcW w:w="876" w:type="dxa"/>
            <w:tcBorders>
              <w:left w:val="single" w:sz="12" w:space="0" w:color="auto"/>
              <w:bottom w:val="single" w:sz="12" w:space="0" w:color="FF0000"/>
              <w:right w:val="single" w:sz="12" w:space="0" w:color="auto"/>
            </w:tcBorders>
            <w:shd w:val="clear" w:color="auto" w:fill="auto"/>
            <w:vAlign w:val="center"/>
            <w:hideMark/>
          </w:tcPr>
          <w:p w14:paraId="1BAAE9E0"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150</w:t>
            </w:r>
          </w:p>
        </w:tc>
        <w:tc>
          <w:tcPr>
            <w:tcW w:w="642" w:type="dxa"/>
            <w:tcBorders>
              <w:left w:val="single" w:sz="12" w:space="0" w:color="auto"/>
              <w:bottom w:val="single" w:sz="12" w:space="0" w:color="FF0000"/>
            </w:tcBorders>
            <w:shd w:val="clear" w:color="auto" w:fill="auto"/>
            <w:vAlign w:val="center"/>
            <w:hideMark/>
          </w:tcPr>
          <w:p w14:paraId="06DB0820"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0.2</w:t>
            </w:r>
          </w:p>
        </w:tc>
        <w:tc>
          <w:tcPr>
            <w:tcW w:w="928" w:type="dxa"/>
            <w:tcBorders>
              <w:bottom w:val="single" w:sz="12" w:space="0" w:color="FF0000"/>
            </w:tcBorders>
            <w:shd w:val="clear" w:color="auto" w:fill="auto"/>
            <w:vAlign w:val="center"/>
            <w:hideMark/>
          </w:tcPr>
          <w:p w14:paraId="1BD36D9F"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5%</w:t>
            </w:r>
          </w:p>
        </w:tc>
        <w:tc>
          <w:tcPr>
            <w:tcW w:w="856" w:type="dxa"/>
            <w:tcBorders>
              <w:bottom w:val="single" w:sz="12" w:space="0" w:color="FF0000"/>
            </w:tcBorders>
            <w:shd w:val="clear" w:color="auto" w:fill="auto"/>
            <w:vAlign w:val="center"/>
            <w:hideMark/>
          </w:tcPr>
          <w:p w14:paraId="192136DE"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5.0</w:t>
            </w:r>
          </w:p>
        </w:tc>
        <w:tc>
          <w:tcPr>
            <w:tcW w:w="762" w:type="dxa"/>
            <w:tcBorders>
              <w:bottom w:val="single" w:sz="12" w:space="0" w:color="FF0000"/>
              <w:right w:val="single" w:sz="12" w:space="0" w:color="auto"/>
            </w:tcBorders>
            <w:shd w:val="clear" w:color="auto" w:fill="auto"/>
            <w:vAlign w:val="center"/>
            <w:hideMark/>
          </w:tcPr>
          <w:p w14:paraId="2A42AEC7"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91</w:t>
            </w:r>
          </w:p>
        </w:tc>
        <w:tc>
          <w:tcPr>
            <w:tcW w:w="641" w:type="dxa"/>
            <w:tcBorders>
              <w:left w:val="single" w:sz="12" w:space="0" w:color="auto"/>
              <w:bottom w:val="single" w:sz="12" w:space="0" w:color="FF0000"/>
            </w:tcBorders>
            <w:shd w:val="clear" w:color="auto" w:fill="auto"/>
            <w:vAlign w:val="center"/>
            <w:hideMark/>
          </w:tcPr>
          <w:p w14:paraId="5B37D0BF"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0.2</w:t>
            </w:r>
          </w:p>
        </w:tc>
        <w:tc>
          <w:tcPr>
            <w:tcW w:w="928" w:type="dxa"/>
            <w:tcBorders>
              <w:bottom w:val="single" w:sz="12" w:space="0" w:color="FF0000"/>
            </w:tcBorders>
            <w:shd w:val="clear" w:color="auto" w:fill="auto"/>
            <w:vAlign w:val="center"/>
            <w:hideMark/>
          </w:tcPr>
          <w:p w14:paraId="07502208"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5%</w:t>
            </w:r>
          </w:p>
        </w:tc>
        <w:tc>
          <w:tcPr>
            <w:tcW w:w="870" w:type="dxa"/>
            <w:tcBorders>
              <w:bottom w:val="single" w:sz="12" w:space="0" w:color="FF0000"/>
            </w:tcBorders>
            <w:shd w:val="clear" w:color="auto" w:fill="auto"/>
            <w:vAlign w:val="center"/>
            <w:hideMark/>
          </w:tcPr>
          <w:p w14:paraId="28363CF0"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5.2</w:t>
            </w:r>
          </w:p>
        </w:tc>
        <w:tc>
          <w:tcPr>
            <w:tcW w:w="762" w:type="dxa"/>
            <w:tcBorders>
              <w:bottom w:val="single" w:sz="12" w:space="0" w:color="FF0000"/>
              <w:right w:val="single" w:sz="12" w:space="0" w:color="auto"/>
            </w:tcBorders>
            <w:shd w:val="clear" w:color="auto" w:fill="auto"/>
            <w:vAlign w:val="center"/>
            <w:hideMark/>
          </w:tcPr>
          <w:p w14:paraId="43CC8739"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90</w:t>
            </w:r>
          </w:p>
        </w:tc>
        <w:tc>
          <w:tcPr>
            <w:tcW w:w="673" w:type="dxa"/>
            <w:tcBorders>
              <w:left w:val="single" w:sz="12" w:space="0" w:color="auto"/>
              <w:bottom w:val="single" w:sz="12" w:space="0" w:color="FF0000"/>
            </w:tcBorders>
            <w:vAlign w:val="center"/>
          </w:tcPr>
          <w:p w14:paraId="186C6CDA"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0.2</w:t>
            </w:r>
          </w:p>
        </w:tc>
        <w:tc>
          <w:tcPr>
            <w:tcW w:w="928" w:type="dxa"/>
            <w:tcBorders>
              <w:bottom w:val="single" w:sz="12" w:space="0" w:color="FF0000"/>
            </w:tcBorders>
            <w:vAlign w:val="center"/>
          </w:tcPr>
          <w:p w14:paraId="1298A431"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7%</w:t>
            </w:r>
          </w:p>
        </w:tc>
        <w:tc>
          <w:tcPr>
            <w:tcW w:w="819" w:type="dxa"/>
            <w:tcBorders>
              <w:bottom w:val="single" w:sz="12" w:space="0" w:color="FF0000"/>
            </w:tcBorders>
            <w:vAlign w:val="center"/>
          </w:tcPr>
          <w:p w14:paraId="04DF99BC"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5.5</w:t>
            </w:r>
          </w:p>
        </w:tc>
        <w:tc>
          <w:tcPr>
            <w:tcW w:w="790" w:type="dxa"/>
            <w:tcBorders>
              <w:bottom w:val="single" w:sz="12" w:space="0" w:color="FF0000"/>
              <w:right w:val="single" w:sz="12" w:space="0" w:color="auto"/>
            </w:tcBorders>
            <w:vAlign w:val="center"/>
          </w:tcPr>
          <w:p w14:paraId="1119820A"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77</w:t>
            </w:r>
          </w:p>
        </w:tc>
      </w:tr>
      <w:tr w:rsidR="00FF3AAE" w:rsidRPr="00780A49" w14:paraId="01042FDB" w14:textId="77777777" w:rsidTr="0035403A">
        <w:trPr>
          <w:trHeight w:val="276"/>
        </w:trPr>
        <w:tc>
          <w:tcPr>
            <w:tcW w:w="876" w:type="dxa"/>
            <w:tcBorders>
              <w:top w:val="single" w:sz="12" w:space="0" w:color="FF0000"/>
              <w:left w:val="single" w:sz="12" w:space="0" w:color="FF0000"/>
              <w:right w:val="single" w:sz="12" w:space="0" w:color="auto"/>
            </w:tcBorders>
            <w:shd w:val="clear" w:color="auto" w:fill="auto"/>
            <w:vAlign w:val="center"/>
            <w:hideMark/>
          </w:tcPr>
          <w:p w14:paraId="4A70A0FB"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250</w:t>
            </w:r>
          </w:p>
        </w:tc>
        <w:tc>
          <w:tcPr>
            <w:tcW w:w="642" w:type="dxa"/>
            <w:tcBorders>
              <w:top w:val="single" w:sz="12" w:space="0" w:color="FF0000"/>
              <w:left w:val="single" w:sz="12" w:space="0" w:color="auto"/>
            </w:tcBorders>
            <w:shd w:val="clear" w:color="auto" w:fill="auto"/>
            <w:vAlign w:val="center"/>
            <w:hideMark/>
          </w:tcPr>
          <w:p w14:paraId="5DDCA75B"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0.3</w:t>
            </w:r>
          </w:p>
        </w:tc>
        <w:tc>
          <w:tcPr>
            <w:tcW w:w="928" w:type="dxa"/>
            <w:tcBorders>
              <w:top w:val="single" w:sz="12" w:space="0" w:color="FF0000"/>
            </w:tcBorders>
            <w:shd w:val="clear" w:color="auto" w:fill="auto"/>
            <w:vAlign w:val="center"/>
            <w:hideMark/>
          </w:tcPr>
          <w:p w14:paraId="750D36A8"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3%</w:t>
            </w:r>
          </w:p>
        </w:tc>
        <w:tc>
          <w:tcPr>
            <w:tcW w:w="856" w:type="dxa"/>
            <w:tcBorders>
              <w:top w:val="single" w:sz="12" w:space="0" w:color="FF0000"/>
            </w:tcBorders>
            <w:shd w:val="clear" w:color="auto" w:fill="auto"/>
            <w:vAlign w:val="center"/>
            <w:hideMark/>
          </w:tcPr>
          <w:p w14:paraId="16F6BAC1"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4.2</w:t>
            </w:r>
          </w:p>
        </w:tc>
        <w:tc>
          <w:tcPr>
            <w:tcW w:w="762" w:type="dxa"/>
            <w:tcBorders>
              <w:top w:val="single" w:sz="12" w:space="0" w:color="FF0000"/>
              <w:right w:val="single" w:sz="12" w:space="0" w:color="auto"/>
            </w:tcBorders>
            <w:shd w:val="clear" w:color="auto" w:fill="auto"/>
            <w:vAlign w:val="center"/>
            <w:hideMark/>
          </w:tcPr>
          <w:p w14:paraId="12672B00"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141</w:t>
            </w:r>
          </w:p>
        </w:tc>
        <w:tc>
          <w:tcPr>
            <w:tcW w:w="641" w:type="dxa"/>
            <w:tcBorders>
              <w:top w:val="single" w:sz="12" w:space="0" w:color="FF0000"/>
              <w:left w:val="single" w:sz="12" w:space="0" w:color="auto"/>
            </w:tcBorders>
            <w:shd w:val="clear" w:color="auto" w:fill="92D050"/>
            <w:vAlign w:val="center"/>
            <w:hideMark/>
          </w:tcPr>
          <w:p w14:paraId="1AE94AE9"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0.3</w:t>
            </w:r>
          </w:p>
        </w:tc>
        <w:tc>
          <w:tcPr>
            <w:tcW w:w="928" w:type="dxa"/>
            <w:tcBorders>
              <w:top w:val="single" w:sz="12" w:space="0" w:color="FF0000"/>
            </w:tcBorders>
            <w:shd w:val="clear" w:color="auto" w:fill="92D050"/>
            <w:vAlign w:val="center"/>
            <w:hideMark/>
          </w:tcPr>
          <w:p w14:paraId="02EB910F"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3%</w:t>
            </w:r>
          </w:p>
        </w:tc>
        <w:tc>
          <w:tcPr>
            <w:tcW w:w="870" w:type="dxa"/>
            <w:tcBorders>
              <w:top w:val="single" w:sz="12" w:space="0" w:color="FF0000"/>
            </w:tcBorders>
            <w:shd w:val="clear" w:color="auto" w:fill="92D050"/>
            <w:vAlign w:val="center"/>
            <w:hideMark/>
          </w:tcPr>
          <w:p w14:paraId="222899B5"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4.3</w:t>
            </w:r>
          </w:p>
        </w:tc>
        <w:tc>
          <w:tcPr>
            <w:tcW w:w="762" w:type="dxa"/>
            <w:tcBorders>
              <w:top w:val="single" w:sz="12" w:space="0" w:color="FF0000"/>
              <w:right w:val="single" w:sz="12" w:space="0" w:color="auto"/>
            </w:tcBorders>
            <w:shd w:val="clear" w:color="auto" w:fill="92D050"/>
            <w:vAlign w:val="center"/>
            <w:hideMark/>
          </w:tcPr>
          <w:p w14:paraId="0A9D8382"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141</w:t>
            </w:r>
          </w:p>
        </w:tc>
        <w:tc>
          <w:tcPr>
            <w:tcW w:w="673" w:type="dxa"/>
            <w:tcBorders>
              <w:top w:val="single" w:sz="12" w:space="0" w:color="FF0000"/>
              <w:left w:val="single" w:sz="12" w:space="0" w:color="auto"/>
            </w:tcBorders>
            <w:shd w:val="clear" w:color="auto" w:fill="92D050"/>
            <w:vAlign w:val="center"/>
          </w:tcPr>
          <w:p w14:paraId="57CAD908"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0.3</w:t>
            </w:r>
          </w:p>
        </w:tc>
        <w:tc>
          <w:tcPr>
            <w:tcW w:w="928" w:type="dxa"/>
            <w:tcBorders>
              <w:top w:val="single" w:sz="12" w:space="0" w:color="FF0000"/>
            </w:tcBorders>
            <w:shd w:val="clear" w:color="auto" w:fill="92D050"/>
            <w:vAlign w:val="center"/>
          </w:tcPr>
          <w:p w14:paraId="1BF4FAB3"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3%</w:t>
            </w:r>
          </w:p>
        </w:tc>
        <w:tc>
          <w:tcPr>
            <w:tcW w:w="819" w:type="dxa"/>
            <w:tcBorders>
              <w:top w:val="single" w:sz="12" w:space="0" w:color="FF0000"/>
            </w:tcBorders>
            <w:shd w:val="clear" w:color="auto" w:fill="92D050"/>
            <w:vAlign w:val="center"/>
          </w:tcPr>
          <w:p w14:paraId="204262FF"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4.8</w:t>
            </w:r>
          </w:p>
        </w:tc>
        <w:tc>
          <w:tcPr>
            <w:tcW w:w="790" w:type="dxa"/>
            <w:tcBorders>
              <w:top w:val="single" w:sz="12" w:space="0" w:color="FF0000"/>
              <w:right w:val="single" w:sz="12" w:space="0" w:color="FF0000"/>
            </w:tcBorders>
            <w:shd w:val="clear" w:color="auto" w:fill="92D050"/>
            <w:vAlign w:val="center"/>
          </w:tcPr>
          <w:p w14:paraId="2DDC8C6E"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135</w:t>
            </w:r>
          </w:p>
        </w:tc>
      </w:tr>
      <w:tr w:rsidR="00FF3AAE" w:rsidRPr="00780A49" w14:paraId="73B7ADD9" w14:textId="77777777" w:rsidTr="0035403A">
        <w:trPr>
          <w:trHeight w:val="276"/>
        </w:trPr>
        <w:tc>
          <w:tcPr>
            <w:tcW w:w="876" w:type="dxa"/>
            <w:tcBorders>
              <w:left w:val="single" w:sz="12" w:space="0" w:color="FF0000"/>
              <w:right w:val="single" w:sz="12" w:space="0" w:color="auto"/>
            </w:tcBorders>
            <w:shd w:val="clear" w:color="auto" w:fill="auto"/>
            <w:vAlign w:val="center"/>
            <w:hideMark/>
          </w:tcPr>
          <w:p w14:paraId="18AC9A82"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350</w:t>
            </w:r>
          </w:p>
        </w:tc>
        <w:tc>
          <w:tcPr>
            <w:tcW w:w="642" w:type="dxa"/>
            <w:tcBorders>
              <w:left w:val="single" w:sz="12" w:space="0" w:color="auto"/>
            </w:tcBorders>
            <w:shd w:val="clear" w:color="auto" w:fill="auto"/>
            <w:vAlign w:val="center"/>
            <w:hideMark/>
          </w:tcPr>
          <w:p w14:paraId="30B03EAD"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0.4</w:t>
            </w:r>
          </w:p>
        </w:tc>
        <w:tc>
          <w:tcPr>
            <w:tcW w:w="928" w:type="dxa"/>
            <w:shd w:val="clear" w:color="auto" w:fill="auto"/>
            <w:vAlign w:val="center"/>
            <w:hideMark/>
          </w:tcPr>
          <w:p w14:paraId="746142D5"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2%</w:t>
            </w:r>
          </w:p>
        </w:tc>
        <w:tc>
          <w:tcPr>
            <w:tcW w:w="856" w:type="dxa"/>
            <w:shd w:val="clear" w:color="auto" w:fill="auto"/>
            <w:vAlign w:val="center"/>
            <w:hideMark/>
          </w:tcPr>
          <w:p w14:paraId="524DCE9D"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3.2</w:t>
            </w:r>
          </w:p>
        </w:tc>
        <w:tc>
          <w:tcPr>
            <w:tcW w:w="762" w:type="dxa"/>
            <w:tcBorders>
              <w:right w:val="single" w:sz="12" w:space="0" w:color="auto"/>
            </w:tcBorders>
            <w:shd w:val="clear" w:color="auto" w:fill="auto"/>
            <w:vAlign w:val="center"/>
            <w:hideMark/>
          </w:tcPr>
          <w:p w14:paraId="0DFC4E8E"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170</w:t>
            </w:r>
          </w:p>
        </w:tc>
        <w:tc>
          <w:tcPr>
            <w:tcW w:w="641" w:type="dxa"/>
            <w:tcBorders>
              <w:left w:val="single" w:sz="12" w:space="0" w:color="auto"/>
            </w:tcBorders>
            <w:shd w:val="clear" w:color="auto" w:fill="92D050"/>
            <w:vAlign w:val="center"/>
            <w:hideMark/>
          </w:tcPr>
          <w:p w14:paraId="235E582F"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0.4</w:t>
            </w:r>
          </w:p>
        </w:tc>
        <w:tc>
          <w:tcPr>
            <w:tcW w:w="928" w:type="dxa"/>
            <w:shd w:val="clear" w:color="auto" w:fill="92D050"/>
            <w:vAlign w:val="center"/>
            <w:hideMark/>
          </w:tcPr>
          <w:p w14:paraId="7569B832"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2%</w:t>
            </w:r>
          </w:p>
        </w:tc>
        <w:tc>
          <w:tcPr>
            <w:tcW w:w="870" w:type="dxa"/>
            <w:shd w:val="clear" w:color="auto" w:fill="92D050"/>
            <w:vAlign w:val="center"/>
            <w:hideMark/>
          </w:tcPr>
          <w:p w14:paraId="73CC4E0C"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3.2</w:t>
            </w:r>
          </w:p>
        </w:tc>
        <w:tc>
          <w:tcPr>
            <w:tcW w:w="762" w:type="dxa"/>
            <w:tcBorders>
              <w:right w:val="single" w:sz="12" w:space="0" w:color="auto"/>
            </w:tcBorders>
            <w:shd w:val="clear" w:color="auto" w:fill="92D050"/>
            <w:vAlign w:val="center"/>
            <w:hideMark/>
          </w:tcPr>
          <w:p w14:paraId="7FDB142C"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155</w:t>
            </w:r>
          </w:p>
        </w:tc>
        <w:tc>
          <w:tcPr>
            <w:tcW w:w="673" w:type="dxa"/>
            <w:tcBorders>
              <w:left w:val="single" w:sz="12" w:space="0" w:color="auto"/>
            </w:tcBorders>
            <w:shd w:val="clear" w:color="auto" w:fill="92D050"/>
            <w:vAlign w:val="center"/>
          </w:tcPr>
          <w:p w14:paraId="12A1D8E5"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0.4</w:t>
            </w:r>
          </w:p>
        </w:tc>
        <w:tc>
          <w:tcPr>
            <w:tcW w:w="928" w:type="dxa"/>
            <w:shd w:val="clear" w:color="auto" w:fill="92D050"/>
            <w:vAlign w:val="center"/>
          </w:tcPr>
          <w:p w14:paraId="660A74DF"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2%</w:t>
            </w:r>
          </w:p>
        </w:tc>
        <w:tc>
          <w:tcPr>
            <w:tcW w:w="819" w:type="dxa"/>
            <w:shd w:val="clear" w:color="auto" w:fill="92D050"/>
            <w:vAlign w:val="center"/>
          </w:tcPr>
          <w:p w14:paraId="3A328B3E"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3.9</w:t>
            </w:r>
          </w:p>
        </w:tc>
        <w:tc>
          <w:tcPr>
            <w:tcW w:w="790" w:type="dxa"/>
            <w:tcBorders>
              <w:right w:val="single" w:sz="12" w:space="0" w:color="FF0000"/>
            </w:tcBorders>
            <w:shd w:val="clear" w:color="auto" w:fill="92D050"/>
            <w:vAlign w:val="center"/>
          </w:tcPr>
          <w:p w14:paraId="4014A982"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169</w:t>
            </w:r>
          </w:p>
        </w:tc>
      </w:tr>
      <w:tr w:rsidR="00FF3AAE" w:rsidRPr="00780A49" w14:paraId="37361816" w14:textId="77777777" w:rsidTr="0035403A">
        <w:trPr>
          <w:trHeight w:val="276"/>
        </w:trPr>
        <w:tc>
          <w:tcPr>
            <w:tcW w:w="876" w:type="dxa"/>
            <w:tcBorders>
              <w:left w:val="single" w:sz="12" w:space="0" w:color="FF0000"/>
              <w:bottom w:val="single" w:sz="12" w:space="0" w:color="FF0000"/>
              <w:right w:val="single" w:sz="12" w:space="0" w:color="auto"/>
            </w:tcBorders>
            <w:shd w:val="clear" w:color="auto" w:fill="auto"/>
            <w:vAlign w:val="center"/>
            <w:hideMark/>
          </w:tcPr>
          <w:p w14:paraId="689564ED"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500</w:t>
            </w:r>
          </w:p>
        </w:tc>
        <w:tc>
          <w:tcPr>
            <w:tcW w:w="642" w:type="dxa"/>
            <w:tcBorders>
              <w:left w:val="single" w:sz="12" w:space="0" w:color="auto"/>
              <w:bottom w:val="single" w:sz="12" w:space="0" w:color="FF0000"/>
            </w:tcBorders>
            <w:shd w:val="clear" w:color="auto" w:fill="auto"/>
            <w:vAlign w:val="center"/>
            <w:hideMark/>
          </w:tcPr>
          <w:p w14:paraId="464DC51E"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0.8</w:t>
            </w:r>
          </w:p>
        </w:tc>
        <w:tc>
          <w:tcPr>
            <w:tcW w:w="928" w:type="dxa"/>
            <w:tcBorders>
              <w:bottom w:val="single" w:sz="12" w:space="0" w:color="FF0000"/>
            </w:tcBorders>
            <w:shd w:val="clear" w:color="auto" w:fill="auto"/>
            <w:vAlign w:val="center"/>
            <w:hideMark/>
          </w:tcPr>
          <w:p w14:paraId="308FF4C1"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w:t>
            </w:r>
          </w:p>
        </w:tc>
        <w:tc>
          <w:tcPr>
            <w:tcW w:w="856" w:type="dxa"/>
            <w:tcBorders>
              <w:bottom w:val="single" w:sz="12" w:space="0" w:color="FF0000"/>
            </w:tcBorders>
            <w:shd w:val="clear" w:color="auto" w:fill="auto"/>
            <w:vAlign w:val="center"/>
            <w:hideMark/>
          </w:tcPr>
          <w:p w14:paraId="1DAD5653"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2.1</w:t>
            </w:r>
          </w:p>
        </w:tc>
        <w:tc>
          <w:tcPr>
            <w:tcW w:w="762" w:type="dxa"/>
            <w:tcBorders>
              <w:bottom w:val="single" w:sz="12" w:space="0" w:color="FF0000"/>
              <w:right w:val="single" w:sz="12" w:space="0" w:color="auto"/>
            </w:tcBorders>
            <w:shd w:val="clear" w:color="auto" w:fill="auto"/>
            <w:vAlign w:val="center"/>
            <w:hideMark/>
          </w:tcPr>
          <w:p w14:paraId="1DD56933"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226</w:t>
            </w:r>
          </w:p>
        </w:tc>
        <w:tc>
          <w:tcPr>
            <w:tcW w:w="641" w:type="dxa"/>
            <w:tcBorders>
              <w:left w:val="single" w:sz="12" w:space="0" w:color="auto"/>
              <w:bottom w:val="single" w:sz="12" w:space="0" w:color="FF0000"/>
            </w:tcBorders>
            <w:shd w:val="clear" w:color="auto" w:fill="92D050"/>
            <w:vAlign w:val="center"/>
            <w:hideMark/>
          </w:tcPr>
          <w:p w14:paraId="1F31821A"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0.7</w:t>
            </w:r>
          </w:p>
        </w:tc>
        <w:tc>
          <w:tcPr>
            <w:tcW w:w="928" w:type="dxa"/>
            <w:tcBorders>
              <w:bottom w:val="single" w:sz="12" w:space="0" w:color="FF0000"/>
            </w:tcBorders>
            <w:shd w:val="clear" w:color="auto" w:fill="92D050"/>
            <w:vAlign w:val="center"/>
            <w:hideMark/>
          </w:tcPr>
          <w:p w14:paraId="4958D83E"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w:t>
            </w:r>
          </w:p>
        </w:tc>
        <w:tc>
          <w:tcPr>
            <w:tcW w:w="870" w:type="dxa"/>
            <w:tcBorders>
              <w:bottom w:val="single" w:sz="12" w:space="0" w:color="FF0000"/>
            </w:tcBorders>
            <w:shd w:val="clear" w:color="auto" w:fill="92D050"/>
            <w:vAlign w:val="center"/>
            <w:hideMark/>
          </w:tcPr>
          <w:p w14:paraId="706C9039"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2.1</w:t>
            </w:r>
          </w:p>
        </w:tc>
        <w:tc>
          <w:tcPr>
            <w:tcW w:w="762" w:type="dxa"/>
            <w:tcBorders>
              <w:bottom w:val="single" w:sz="12" w:space="0" w:color="FF0000"/>
              <w:right w:val="single" w:sz="12" w:space="0" w:color="auto"/>
            </w:tcBorders>
            <w:shd w:val="clear" w:color="auto" w:fill="92D050"/>
            <w:vAlign w:val="center"/>
            <w:hideMark/>
          </w:tcPr>
          <w:p w14:paraId="0FE5C269"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226</w:t>
            </w:r>
          </w:p>
        </w:tc>
        <w:tc>
          <w:tcPr>
            <w:tcW w:w="673" w:type="dxa"/>
            <w:tcBorders>
              <w:left w:val="single" w:sz="12" w:space="0" w:color="auto"/>
              <w:bottom w:val="single" w:sz="12" w:space="0" w:color="FF0000"/>
            </w:tcBorders>
            <w:shd w:val="clear" w:color="auto" w:fill="92D050"/>
            <w:vAlign w:val="center"/>
          </w:tcPr>
          <w:p w14:paraId="7C5FF89A"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0.7</w:t>
            </w:r>
          </w:p>
        </w:tc>
        <w:tc>
          <w:tcPr>
            <w:tcW w:w="928" w:type="dxa"/>
            <w:tcBorders>
              <w:bottom w:val="single" w:sz="12" w:space="0" w:color="FF0000"/>
            </w:tcBorders>
            <w:shd w:val="clear" w:color="auto" w:fill="92D050"/>
            <w:vAlign w:val="center"/>
          </w:tcPr>
          <w:p w14:paraId="08D13092"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w:t>
            </w:r>
          </w:p>
        </w:tc>
        <w:tc>
          <w:tcPr>
            <w:tcW w:w="819" w:type="dxa"/>
            <w:tcBorders>
              <w:bottom w:val="single" w:sz="12" w:space="0" w:color="FF0000"/>
            </w:tcBorders>
            <w:shd w:val="clear" w:color="auto" w:fill="92D050"/>
            <w:vAlign w:val="center"/>
          </w:tcPr>
          <w:p w14:paraId="5C4117FF"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2.6</w:t>
            </w:r>
          </w:p>
        </w:tc>
        <w:tc>
          <w:tcPr>
            <w:tcW w:w="790" w:type="dxa"/>
            <w:tcBorders>
              <w:bottom w:val="single" w:sz="12" w:space="0" w:color="FF0000"/>
              <w:right w:val="single" w:sz="12" w:space="0" w:color="FF0000"/>
            </w:tcBorders>
            <w:shd w:val="clear" w:color="auto" w:fill="92D050"/>
            <w:vAlign w:val="center"/>
          </w:tcPr>
          <w:p w14:paraId="48426C00"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241</w:t>
            </w:r>
          </w:p>
        </w:tc>
      </w:tr>
      <w:tr w:rsidR="00FF3AAE" w:rsidRPr="00780A49" w14:paraId="579BCF4D" w14:textId="77777777" w:rsidTr="0035403A">
        <w:trPr>
          <w:trHeight w:val="276"/>
        </w:trPr>
        <w:tc>
          <w:tcPr>
            <w:tcW w:w="876" w:type="dxa"/>
            <w:tcBorders>
              <w:top w:val="single" w:sz="12" w:space="0" w:color="FF0000"/>
              <w:left w:val="single" w:sz="12" w:space="0" w:color="auto"/>
              <w:right w:val="single" w:sz="12" w:space="0" w:color="auto"/>
            </w:tcBorders>
            <w:shd w:val="clear" w:color="auto" w:fill="auto"/>
            <w:vAlign w:val="center"/>
            <w:hideMark/>
          </w:tcPr>
          <w:p w14:paraId="3146E6E6"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750</w:t>
            </w:r>
          </w:p>
        </w:tc>
        <w:tc>
          <w:tcPr>
            <w:tcW w:w="642" w:type="dxa"/>
            <w:tcBorders>
              <w:top w:val="single" w:sz="12" w:space="0" w:color="FF0000"/>
              <w:left w:val="single" w:sz="12" w:space="0" w:color="auto"/>
            </w:tcBorders>
            <w:shd w:val="clear" w:color="auto" w:fill="auto"/>
            <w:vAlign w:val="center"/>
            <w:hideMark/>
          </w:tcPr>
          <w:p w14:paraId="0814D668"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2.0</w:t>
            </w:r>
          </w:p>
        </w:tc>
        <w:tc>
          <w:tcPr>
            <w:tcW w:w="928" w:type="dxa"/>
            <w:tcBorders>
              <w:top w:val="single" w:sz="12" w:space="0" w:color="FF0000"/>
            </w:tcBorders>
            <w:shd w:val="clear" w:color="auto" w:fill="auto"/>
            <w:vAlign w:val="center"/>
            <w:hideMark/>
          </w:tcPr>
          <w:p w14:paraId="227206E2"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0%</w:t>
            </w:r>
          </w:p>
        </w:tc>
        <w:tc>
          <w:tcPr>
            <w:tcW w:w="856" w:type="dxa"/>
            <w:tcBorders>
              <w:top w:val="single" w:sz="12" w:space="0" w:color="FF0000"/>
            </w:tcBorders>
            <w:shd w:val="clear" w:color="auto" w:fill="auto"/>
            <w:vAlign w:val="center"/>
            <w:hideMark/>
          </w:tcPr>
          <w:p w14:paraId="0B7EE14C"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1.6</w:t>
            </w:r>
          </w:p>
        </w:tc>
        <w:tc>
          <w:tcPr>
            <w:tcW w:w="762" w:type="dxa"/>
            <w:tcBorders>
              <w:top w:val="single" w:sz="12" w:space="0" w:color="FF0000"/>
              <w:right w:val="single" w:sz="12" w:space="0" w:color="auto"/>
            </w:tcBorders>
            <w:shd w:val="clear" w:color="auto" w:fill="auto"/>
            <w:vAlign w:val="center"/>
            <w:hideMark/>
          </w:tcPr>
          <w:p w14:paraId="1D95E83E"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608</w:t>
            </w:r>
          </w:p>
        </w:tc>
        <w:tc>
          <w:tcPr>
            <w:tcW w:w="641" w:type="dxa"/>
            <w:tcBorders>
              <w:top w:val="single" w:sz="12" w:space="0" w:color="FF0000"/>
              <w:left w:val="single" w:sz="12" w:space="0" w:color="auto"/>
            </w:tcBorders>
            <w:shd w:val="clear" w:color="auto" w:fill="auto"/>
            <w:vAlign w:val="center"/>
            <w:hideMark/>
          </w:tcPr>
          <w:p w14:paraId="1AFB5EE1"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1.8</w:t>
            </w:r>
          </w:p>
        </w:tc>
        <w:tc>
          <w:tcPr>
            <w:tcW w:w="928" w:type="dxa"/>
            <w:tcBorders>
              <w:top w:val="single" w:sz="12" w:space="0" w:color="FF0000"/>
            </w:tcBorders>
            <w:shd w:val="clear" w:color="auto" w:fill="auto"/>
            <w:vAlign w:val="center"/>
            <w:hideMark/>
          </w:tcPr>
          <w:p w14:paraId="387394BD"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0%</w:t>
            </w:r>
          </w:p>
        </w:tc>
        <w:tc>
          <w:tcPr>
            <w:tcW w:w="870" w:type="dxa"/>
            <w:tcBorders>
              <w:top w:val="single" w:sz="12" w:space="0" w:color="FF0000"/>
            </w:tcBorders>
            <w:shd w:val="clear" w:color="auto" w:fill="auto"/>
            <w:vAlign w:val="center"/>
            <w:hideMark/>
          </w:tcPr>
          <w:p w14:paraId="451DD693"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1.5</w:t>
            </w:r>
          </w:p>
        </w:tc>
        <w:tc>
          <w:tcPr>
            <w:tcW w:w="762" w:type="dxa"/>
            <w:tcBorders>
              <w:top w:val="single" w:sz="12" w:space="0" w:color="FF0000"/>
              <w:right w:val="single" w:sz="12" w:space="0" w:color="auto"/>
            </w:tcBorders>
            <w:shd w:val="clear" w:color="auto" w:fill="auto"/>
            <w:vAlign w:val="center"/>
            <w:hideMark/>
          </w:tcPr>
          <w:p w14:paraId="24BD9CEC"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521</w:t>
            </w:r>
          </w:p>
        </w:tc>
        <w:tc>
          <w:tcPr>
            <w:tcW w:w="673" w:type="dxa"/>
            <w:tcBorders>
              <w:top w:val="single" w:sz="12" w:space="0" w:color="FF0000"/>
              <w:left w:val="single" w:sz="12" w:space="0" w:color="auto"/>
            </w:tcBorders>
            <w:vAlign w:val="center"/>
          </w:tcPr>
          <w:p w14:paraId="1939C335"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1.9</w:t>
            </w:r>
          </w:p>
        </w:tc>
        <w:tc>
          <w:tcPr>
            <w:tcW w:w="928" w:type="dxa"/>
            <w:tcBorders>
              <w:top w:val="single" w:sz="12" w:space="0" w:color="FF0000"/>
            </w:tcBorders>
            <w:vAlign w:val="center"/>
          </w:tcPr>
          <w:p w14:paraId="580287F1"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0%</w:t>
            </w:r>
          </w:p>
        </w:tc>
        <w:tc>
          <w:tcPr>
            <w:tcW w:w="819" w:type="dxa"/>
            <w:tcBorders>
              <w:top w:val="single" w:sz="12" w:space="0" w:color="FF0000"/>
            </w:tcBorders>
            <w:vAlign w:val="center"/>
          </w:tcPr>
          <w:p w14:paraId="74261186"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1.6</w:t>
            </w:r>
          </w:p>
        </w:tc>
        <w:tc>
          <w:tcPr>
            <w:tcW w:w="790" w:type="dxa"/>
            <w:tcBorders>
              <w:top w:val="single" w:sz="12" w:space="0" w:color="FF0000"/>
              <w:right w:val="single" w:sz="12" w:space="0" w:color="auto"/>
            </w:tcBorders>
            <w:vAlign w:val="center"/>
          </w:tcPr>
          <w:p w14:paraId="737B2DE0"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608</w:t>
            </w:r>
          </w:p>
        </w:tc>
      </w:tr>
      <w:tr w:rsidR="00FF3AAE" w:rsidRPr="00780A49" w14:paraId="0C23F26D" w14:textId="77777777" w:rsidTr="0035403A">
        <w:trPr>
          <w:trHeight w:val="276"/>
        </w:trPr>
        <w:tc>
          <w:tcPr>
            <w:tcW w:w="876" w:type="dxa"/>
            <w:tcBorders>
              <w:left w:val="single" w:sz="12" w:space="0" w:color="auto"/>
              <w:bottom w:val="single" w:sz="12" w:space="0" w:color="auto"/>
              <w:right w:val="single" w:sz="12" w:space="0" w:color="auto"/>
            </w:tcBorders>
            <w:shd w:val="clear" w:color="auto" w:fill="auto"/>
            <w:vAlign w:val="center"/>
            <w:hideMark/>
          </w:tcPr>
          <w:p w14:paraId="0F6CB097"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1000</w:t>
            </w:r>
          </w:p>
        </w:tc>
        <w:tc>
          <w:tcPr>
            <w:tcW w:w="642" w:type="dxa"/>
            <w:tcBorders>
              <w:left w:val="single" w:sz="12" w:space="0" w:color="auto"/>
              <w:bottom w:val="single" w:sz="12" w:space="0" w:color="auto"/>
            </w:tcBorders>
            <w:shd w:val="clear" w:color="auto" w:fill="auto"/>
            <w:vAlign w:val="center"/>
            <w:hideMark/>
          </w:tcPr>
          <w:p w14:paraId="57BF4EBF"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5.1</w:t>
            </w:r>
          </w:p>
        </w:tc>
        <w:tc>
          <w:tcPr>
            <w:tcW w:w="928" w:type="dxa"/>
            <w:tcBorders>
              <w:bottom w:val="single" w:sz="12" w:space="0" w:color="auto"/>
            </w:tcBorders>
            <w:shd w:val="clear" w:color="auto" w:fill="auto"/>
            <w:vAlign w:val="center"/>
            <w:hideMark/>
          </w:tcPr>
          <w:p w14:paraId="613CD093"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0%</w:t>
            </w:r>
          </w:p>
        </w:tc>
        <w:tc>
          <w:tcPr>
            <w:tcW w:w="856" w:type="dxa"/>
            <w:tcBorders>
              <w:bottom w:val="single" w:sz="12" w:space="0" w:color="auto"/>
            </w:tcBorders>
            <w:shd w:val="clear" w:color="auto" w:fill="auto"/>
            <w:vAlign w:val="center"/>
            <w:hideMark/>
          </w:tcPr>
          <w:p w14:paraId="751A7369"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1.5</w:t>
            </w:r>
          </w:p>
        </w:tc>
        <w:tc>
          <w:tcPr>
            <w:tcW w:w="762" w:type="dxa"/>
            <w:tcBorders>
              <w:bottom w:val="single" w:sz="12" w:space="0" w:color="auto"/>
              <w:right w:val="single" w:sz="12" w:space="0" w:color="auto"/>
            </w:tcBorders>
            <w:shd w:val="clear" w:color="auto" w:fill="auto"/>
            <w:vAlign w:val="center"/>
            <w:hideMark/>
          </w:tcPr>
          <w:p w14:paraId="12CA8573"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1216</w:t>
            </w:r>
          </w:p>
        </w:tc>
        <w:tc>
          <w:tcPr>
            <w:tcW w:w="641" w:type="dxa"/>
            <w:tcBorders>
              <w:left w:val="single" w:sz="12" w:space="0" w:color="auto"/>
              <w:bottom w:val="single" w:sz="12" w:space="0" w:color="auto"/>
            </w:tcBorders>
            <w:shd w:val="clear" w:color="auto" w:fill="auto"/>
            <w:vAlign w:val="center"/>
            <w:hideMark/>
          </w:tcPr>
          <w:p w14:paraId="7E6E3B74"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4.6</w:t>
            </w:r>
          </w:p>
        </w:tc>
        <w:tc>
          <w:tcPr>
            <w:tcW w:w="928" w:type="dxa"/>
            <w:tcBorders>
              <w:bottom w:val="single" w:sz="12" w:space="0" w:color="auto"/>
            </w:tcBorders>
            <w:shd w:val="clear" w:color="auto" w:fill="auto"/>
            <w:vAlign w:val="center"/>
            <w:hideMark/>
          </w:tcPr>
          <w:p w14:paraId="65EBD78F"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0%</w:t>
            </w:r>
          </w:p>
        </w:tc>
        <w:tc>
          <w:tcPr>
            <w:tcW w:w="870" w:type="dxa"/>
            <w:tcBorders>
              <w:bottom w:val="single" w:sz="12" w:space="0" w:color="auto"/>
            </w:tcBorders>
            <w:shd w:val="clear" w:color="auto" w:fill="auto"/>
            <w:vAlign w:val="center"/>
            <w:hideMark/>
          </w:tcPr>
          <w:p w14:paraId="23B9840F"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1.5</w:t>
            </w:r>
          </w:p>
        </w:tc>
        <w:tc>
          <w:tcPr>
            <w:tcW w:w="762" w:type="dxa"/>
            <w:tcBorders>
              <w:bottom w:val="single" w:sz="12" w:space="0" w:color="auto"/>
              <w:right w:val="single" w:sz="12" w:space="0" w:color="auto"/>
            </w:tcBorders>
            <w:shd w:val="clear" w:color="auto" w:fill="auto"/>
            <w:vAlign w:val="center"/>
            <w:hideMark/>
          </w:tcPr>
          <w:p w14:paraId="1F0BF7A3"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1217</w:t>
            </w:r>
          </w:p>
        </w:tc>
        <w:tc>
          <w:tcPr>
            <w:tcW w:w="673" w:type="dxa"/>
            <w:tcBorders>
              <w:left w:val="single" w:sz="12" w:space="0" w:color="auto"/>
              <w:bottom w:val="single" w:sz="12" w:space="0" w:color="auto"/>
            </w:tcBorders>
            <w:vAlign w:val="center"/>
          </w:tcPr>
          <w:p w14:paraId="2927E6EE"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4.8</w:t>
            </w:r>
          </w:p>
        </w:tc>
        <w:tc>
          <w:tcPr>
            <w:tcW w:w="928" w:type="dxa"/>
            <w:tcBorders>
              <w:bottom w:val="single" w:sz="12" w:space="0" w:color="auto"/>
            </w:tcBorders>
            <w:vAlign w:val="center"/>
          </w:tcPr>
          <w:p w14:paraId="7AD31392"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0%</w:t>
            </w:r>
          </w:p>
        </w:tc>
        <w:tc>
          <w:tcPr>
            <w:tcW w:w="819" w:type="dxa"/>
            <w:tcBorders>
              <w:bottom w:val="single" w:sz="12" w:space="0" w:color="auto"/>
            </w:tcBorders>
            <w:vAlign w:val="center"/>
          </w:tcPr>
          <w:p w14:paraId="0EA2C373"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2</w:t>
            </w:r>
          </w:p>
        </w:tc>
        <w:tc>
          <w:tcPr>
            <w:tcW w:w="790" w:type="dxa"/>
            <w:tcBorders>
              <w:bottom w:val="single" w:sz="12" w:space="0" w:color="auto"/>
              <w:right w:val="single" w:sz="12" w:space="0" w:color="auto"/>
            </w:tcBorders>
            <w:vAlign w:val="center"/>
          </w:tcPr>
          <w:p w14:paraId="1530CC8D" w14:textId="77777777" w:rsidR="00FF3AAE" w:rsidRPr="00780A49" w:rsidRDefault="00FF3AAE" w:rsidP="00D965E9">
            <w:pPr>
              <w:spacing w:after="0" w:line="240" w:lineRule="auto"/>
              <w:jc w:val="center"/>
              <w:rPr>
                <w:rFonts w:ascii="Arial" w:eastAsia="Times New Roman" w:hAnsi="Arial" w:cs="Arial"/>
                <w:color w:val="000000"/>
                <w:sz w:val="16"/>
                <w:szCs w:val="16"/>
                <w:lang w:eastAsia="en-AU"/>
              </w:rPr>
            </w:pPr>
            <w:r w:rsidRPr="00780A49">
              <w:rPr>
                <w:rFonts w:ascii="Arial" w:eastAsia="Times New Roman" w:hAnsi="Arial" w:cs="Arial"/>
                <w:color w:val="000000"/>
                <w:sz w:val="16"/>
                <w:szCs w:val="16"/>
                <w:lang w:eastAsia="en-AU"/>
              </w:rPr>
              <w:t>1216</w:t>
            </w:r>
          </w:p>
        </w:tc>
      </w:tr>
    </w:tbl>
    <w:p w14:paraId="6FE6D6E2" w14:textId="038F4DFB" w:rsidR="004C1756" w:rsidRDefault="004C1756" w:rsidP="004C1756">
      <w:pPr>
        <w:pStyle w:val="Para0"/>
      </w:pPr>
      <w:r>
        <w:t xml:space="preserve">Overall, </w:t>
      </w:r>
      <w:r w:rsidR="004A0AA8">
        <w:t xml:space="preserve">modelling results suggest that there will be </w:t>
      </w:r>
      <w:r>
        <w:t>some small increases in flows in this reach</w:t>
      </w:r>
      <w:r w:rsidR="004A0AA8">
        <w:t xml:space="preserve">, resulting in </w:t>
      </w:r>
      <w:r w:rsidR="001B7227">
        <w:t xml:space="preserve">a minor increase in the </w:t>
      </w:r>
      <w:r w:rsidR="004A0AA8">
        <w:t xml:space="preserve">average </w:t>
      </w:r>
      <w:r w:rsidR="001B7227">
        <w:t>duration o</w:t>
      </w:r>
      <w:r w:rsidR="004A0AA8">
        <w:t>f</w:t>
      </w:r>
      <w:r w:rsidR="001B7227">
        <w:t xml:space="preserve"> anabranch inundation under mid-range flows, and a minor decrease in the interval between inundation events. These </w:t>
      </w:r>
      <w:r w:rsidR="004A0AA8">
        <w:t xml:space="preserve">small </w:t>
      </w:r>
      <w:r w:rsidR="001B7227">
        <w:t xml:space="preserve">changes do not </w:t>
      </w:r>
      <w:r w:rsidR="004A0AA8">
        <w:t>represent</w:t>
      </w:r>
      <w:r w:rsidR="001B7227">
        <w:t xml:space="preserve"> any critical risks to anabranch habitat and conditions</w:t>
      </w:r>
      <w:r w:rsidR="004A0AA8">
        <w:t>,</w:t>
      </w:r>
      <w:r w:rsidR="001B7227">
        <w:t xml:space="preserve"> that would be likely to impact on the dwarf </w:t>
      </w:r>
      <w:r w:rsidR="0035403A">
        <w:t>galaxias</w:t>
      </w:r>
      <w:r w:rsidR="001B7227">
        <w:t xml:space="preserve"> population.</w:t>
      </w:r>
    </w:p>
    <w:p w14:paraId="64ECAADC" w14:textId="7B969C11" w:rsidR="004A0AA8" w:rsidRDefault="0035403A" w:rsidP="0035403A">
      <w:pPr>
        <w:pStyle w:val="SectionSubheading2"/>
      </w:pPr>
      <w:r>
        <w:t>Dwarf galaxias habitat p</w:t>
      </w:r>
      <w:r w:rsidR="004A0AA8" w:rsidRPr="004A0AA8">
        <w:t>ool filling and drawdown</w:t>
      </w:r>
    </w:p>
    <w:p w14:paraId="44DF3FDE" w14:textId="239A9155" w:rsidR="006F43F8" w:rsidRDefault="0035403A" w:rsidP="0035403A">
      <w:pPr>
        <w:pStyle w:val="Para0"/>
      </w:pPr>
      <w:r>
        <w:t xml:space="preserve">Along Reach 1 dwarf galaxias primary occupy anabranch and pool habitats adjacent to the creek, rather than the creek itself. </w:t>
      </w:r>
      <w:r w:rsidR="00274839">
        <w:t xml:space="preserve"> The anabranches contract to a series of pools which progressively dr</w:t>
      </w:r>
      <w:r>
        <w:t>y out i</w:t>
      </w:r>
      <w:r w:rsidR="00274839">
        <w:t>n</w:t>
      </w:r>
      <w:r>
        <w:t xml:space="preserve"> </w:t>
      </w:r>
      <w:r w:rsidR="00274839">
        <w:t xml:space="preserve">between inundation events. </w:t>
      </w:r>
      <w:r>
        <w:t xml:space="preserve"> To assess the rates of refuge pool draw down, 26</w:t>
      </w:r>
      <w:r w:rsidR="00274839">
        <w:t xml:space="preserve"> pools of varying sizes and depths </w:t>
      </w:r>
      <w:r>
        <w:t xml:space="preserve">along the Cardinia Creek anabranch </w:t>
      </w:r>
      <w:r w:rsidR="00274839">
        <w:t>were identified and modelled to determine their filling and drawdown patterns.</w:t>
      </w:r>
      <w:r w:rsidR="006F43F8" w:rsidRPr="006F43F8">
        <w:t xml:space="preserve"> </w:t>
      </w:r>
      <w:r w:rsidR="006F43F8">
        <w:t xml:space="preserve">Pools were identified </w:t>
      </w:r>
      <w:r w:rsidR="009C1694">
        <w:t>from Lidar data</w:t>
      </w:r>
      <w:r w:rsidR="006F43F8">
        <w:t xml:space="preserve">, and the size and depth of each pool </w:t>
      </w:r>
      <w:r w:rsidR="009C1694">
        <w:t>determined (from Lidar)</w:t>
      </w:r>
      <w:r w:rsidR="006F43F8">
        <w:t xml:space="preserve">. Example mapping outputs are shown in </w:t>
      </w:r>
      <w:r w:rsidR="006F43F8">
        <w:fldChar w:fldCharType="begin"/>
      </w:r>
      <w:r w:rsidR="006F43F8">
        <w:instrText xml:space="preserve"> REF _Ref41556760 \h </w:instrText>
      </w:r>
      <w:r w:rsidR="006F43F8">
        <w:fldChar w:fldCharType="separate"/>
      </w:r>
      <w:r w:rsidR="00BE5F47">
        <w:t xml:space="preserve">Figure </w:t>
      </w:r>
      <w:r w:rsidR="00BE5F47">
        <w:rPr>
          <w:noProof/>
        </w:rPr>
        <w:t>5</w:t>
      </w:r>
      <w:r w:rsidR="00BE5F47">
        <w:noBreakHyphen/>
      </w:r>
      <w:r w:rsidR="00BE5F47">
        <w:rPr>
          <w:noProof/>
        </w:rPr>
        <w:t>6</w:t>
      </w:r>
      <w:r w:rsidR="006F43F8">
        <w:fldChar w:fldCharType="end"/>
      </w:r>
      <w:r w:rsidR="006F43F8">
        <w:t>. The left panel shows an aerial view of the entire reach. The main channel is highlighted in blue with a dark blue centre line, and a series of pools (outlined in black) is shown along the anabranch alongside the main channel. The right hand panel shows a close up of the channel and the first pool along the anabranch; Pool 1 is located at the top of the anabranch just below</w:t>
      </w:r>
      <w:r w:rsidR="00F57AC7">
        <w:t xml:space="preserve"> the </w:t>
      </w:r>
      <w:r w:rsidR="009C1694">
        <w:t xml:space="preserve">proposed </w:t>
      </w:r>
      <w:r w:rsidR="00F57AC7">
        <w:t xml:space="preserve">Minta Farm North outfall, and </w:t>
      </w:r>
      <w:r w:rsidR="006F43F8">
        <w:t xml:space="preserve">the point at which the creek breaks into the anabranch at time of sufficient flow. </w:t>
      </w:r>
      <w:r w:rsidR="00274839">
        <w:t xml:space="preserve"> </w:t>
      </w:r>
    </w:p>
    <w:p w14:paraId="03F5994B" w14:textId="653CC794" w:rsidR="00274839" w:rsidRDefault="00274839" w:rsidP="004C1756">
      <w:pPr>
        <w:pStyle w:val="Para0"/>
      </w:pPr>
      <w:r>
        <w:rPr>
          <w:noProof/>
        </w:rPr>
        <w:lastRenderedPageBreak/>
        <w:drawing>
          <wp:inline distT="0" distB="0" distL="0" distR="0" wp14:anchorId="14AEE0F0" wp14:editId="61ACBF97">
            <wp:extent cx="5962073" cy="4246684"/>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971983" cy="4253743"/>
                    </a:xfrm>
                    <a:prstGeom prst="rect">
                      <a:avLst/>
                    </a:prstGeom>
                  </pic:spPr>
                </pic:pic>
              </a:graphicData>
            </a:graphic>
          </wp:inline>
        </w:drawing>
      </w:r>
    </w:p>
    <w:p w14:paraId="67C152E7" w14:textId="03CD06D3" w:rsidR="00274839" w:rsidRDefault="00252BBF" w:rsidP="00274839">
      <w:pPr>
        <w:pStyle w:val="Caption"/>
      </w:pPr>
      <w:bookmarkStart w:id="78" w:name="_Ref41556760"/>
      <w:r>
        <w:t>Figure</w:t>
      </w:r>
      <w:r w:rsidR="00274839">
        <w:t xml:space="preserve"> </w:t>
      </w:r>
      <w:r w:rsidR="00E67EC2">
        <w:fldChar w:fldCharType="begin"/>
      </w:r>
      <w:r w:rsidR="00E67EC2">
        <w:instrText xml:space="preserve"> STYLEREF 1 \s </w:instrText>
      </w:r>
      <w:r w:rsidR="00E67EC2">
        <w:fldChar w:fldCharType="separate"/>
      </w:r>
      <w:r w:rsidR="00BE5F47">
        <w:rPr>
          <w:noProof/>
        </w:rPr>
        <w:t>5</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6</w:t>
      </w:r>
      <w:r w:rsidR="00E67EC2">
        <w:fldChar w:fldCharType="end"/>
      </w:r>
      <w:bookmarkEnd w:id="78"/>
      <w:r w:rsidR="00274839">
        <w:t xml:space="preserve"> </w:t>
      </w:r>
      <w:r w:rsidR="009C1694">
        <w:t xml:space="preserve">Anabranch pool mapping (left panel) and a close up of pool 1 (right panel) (see </w:t>
      </w:r>
      <w:r w:rsidR="009C1694">
        <w:fldChar w:fldCharType="begin"/>
      </w:r>
      <w:r w:rsidR="009C1694">
        <w:instrText xml:space="preserve"> REF _Ref42792633 \w \h </w:instrText>
      </w:r>
      <w:r w:rsidR="009C1694">
        <w:fldChar w:fldCharType="separate"/>
      </w:r>
      <w:r w:rsidR="00BE5F47">
        <w:t>Appendix A</w:t>
      </w:r>
      <w:r w:rsidR="009C1694">
        <w:fldChar w:fldCharType="end"/>
      </w:r>
      <w:r w:rsidR="009C1694">
        <w:t xml:space="preserve"> for a series of maps showing all modelled pools)</w:t>
      </w:r>
    </w:p>
    <w:p w14:paraId="0020009C" w14:textId="5D792CED" w:rsidR="005316C5" w:rsidRDefault="005316C5" w:rsidP="005316C5">
      <w:pPr>
        <w:pStyle w:val="Para0"/>
      </w:pPr>
      <w:r w:rsidRPr="005316C5">
        <w:t xml:space="preserve">The </w:t>
      </w:r>
      <w:r w:rsidR="009C1694">
        <w:t xml:space="preserve">water balance </w:t>
      </w:r>
      <w:r w:rsidRPr="005316C5">
        <w:t xml:space="preserve">model </w:t>
      </w:r>
      <w:r w:rsidR="00F37599">
        <w:t xml:space="preserve">calculated the time it would take for each pool to dry out, after being fully inundated. This was based on </w:t>
      </w:r>
      <w:r w:rsidRPr="005316C5">
        <w:t>pool dimensions and depths</w:t>
      </w:r>
      <w:r>
        <w:t>,</w:t>
      </w:r>
      <w:r w:rsidRPr="005316C5">
        <w:t xml:space="preserve"> evaporation</w:t>
      </w:r>
      <w:r w:rsidR="009C1694">
        <w:t xml:space="preserve"> estimates (from </w:t>
      </w:r>
      <w:r w:rsidR="0046257D">
        <w:t>Station 86375 – Cranbourne Botanic Gardens</w:t>
      </w:r>
      <w:r w:rsidR="009C1694">
        <w:t>)</w:t>
      </w:r>
      <w:r w:rsidRPr="005316C5">
        <w:t xml:space="preserve"> and seepage estimates</w:t>
      </w:r>
      <w:r w:rsidR="009C1694">
        <w:t xml:space="preserve"> (based on literature values for stiff clay / organic rich bed composition)</w:t>
      </w:r>
      <w:r w:rsidRPr="005316C5">
        <w:t xml:space="preserve">. </w:t>
      </w:r>
      <w:r w:rsidR="009C1694">
        <w:t xml:space="preserve"> </w:t>
      </w:r>
      <w:r w:rsidR="009C1694">
        <w:fldChar w:fldCharType="begin"/>
      </w:r>
      <w:r w:rsidR="009C1694">
        <w:instrText xml:space="preserve"> REF _Ref41558635 \h </w:instrText>
      </w:r>
      <w:r w:rsidR="009C1694">
        <w:fldChar w:fldCharType="separate"/>
      </w:r>
      <w:r w:rsidR="00BE5F47">
        <w:t xml:space="preserve">Figure </w:t>
      </w:r>
      <w:r w:rsidR="00BE5F47">
        <w:rPr>
          <w:noProof/>
        </w:rPr>
        <w:t>5</w:t>
      </w:r>
      <w:r w:rsidR="00BE5F47">
        <w:noBreakHyphen/>
      </w:r>
      <w:r w:rsidR="00BE5F47">
        <w:rPr>
          <w:noProof/>
        </w:rPr>
        <w:t>7</w:t>
      </w:r>
      <w:r w:rsidR="009C1694">
        <w:fldChar w:fldCharType="end"/>
      </w:r>
      <w:r w:rsidR="009C1694">
        <w:t xml:space="preserve"> shows the drying curve based on the total surface area of all pools in the anabranch. After an inundation event (y-axis, percentage of total surface area =1), the total surface area of pools decreases as the pools dry out.  This process occurs more quickly in summer than in winter such that p</w:t>
      </w:r>
      <w:r w:rsidRPr="005316C5">
        <w:t xml:space="preserve">ools that fill in summer dry out </w:t>
      </w:r>
      <w:r w:rsidR="00F37599">
        <w:t>more quickly</w:t>
      </w:r>
      <w:r w:rsidRPr="005316C5">
        <w:t xml:space="preserve"> than pools that fill in winter</w:t>
      </w:r>
      <w:r w:rsidR="00F37599">
        <w:t>, due to higher temperatures and evaporation rates.</w:t>
      </w:r>
      <w:r w:rsidRPr="005316C5">
        <w:t xml:space="preserve">  </w:t>
      </w:r>
      <w:r w:rsidR="004836D4">
        <w:t>For example, i</w:t>
      </w:r>
      <w:r w:rsidRPr="005316C5">
        <w:t xml:space="preserve">f the </w:t>
      </w:r>
      <w:r w:rsidR="00F37599">
        <w:t>a</w:t>
      </w:r>
      <w:r w:rsidRPr="005316C5">
        <w:t>nabranch fills on Jan</w:t>
      </w:r>
      <w:r w:rsidR="004836D4">
        <w:t>uary</w:t>
      </w:r>
      <w:r w:rsidRPr="005316C5">
        <w:t xml:space="preserve"> 1</w:t>
      </w:r>
      <w:r w:rsidR="004836D4">
        <w:t>st</w:t>
      </w:r>
      <w:r w:rsidRPr="005316C5">
        <w:t xml:space="preserve">, all the pools </w:t>
      </w:r>
      <w:r w:rsidR="004836D4">
        <w:t>will</w:t>
      </w:r>
      <w:r w:rsidRPr="005316C5">
        <w:t xml:space="preserve"> dry </w:t>
      </w:r>
      <w:r w:rsidR="004836D4">
        <w:t xml:space="preserve">out </w:t>
      </w:r>
      <w:r w:rsidRPr="005316C5">
        <w:t>by mid</w:t>
      </w:r>
      <w:r w:rsidR="00504189">
        <w:t>-</w:t>
      </w:r>
      <w:r w:rsidRPr="005316C5">
        <w:t>March (</w:t>
      </w:r>
      <w:r w:rsidR="009C1694">
        <w:t>~2.5</w:t>
      </w:r>
      <w:r w:rsidRPr="005316C5">
        <w:t xml:space="preserve"> months)</w:t>
      </w:r>
      <w:r w:rsidR="004836D4">
        <w:t xml:space="preserve">. </w:t>
      </w:r>
      <w:r w:rsidR="00B1427C">
        <w:t xml:space="preserve"> </w:t>
      </w:r>
      <w:r w:rsidR="004836D4">
        <w:t>In contrast, i</w:t>
      </w:r>
      <w:r w:rsidRPr="005316C5">
        <w:t xml:space="preserve">f </w:t>
      </w:r>
      <w:r w:rsidR="004836D4">
        <w:t xml:space="preserve">the anabranch </w:t>
      </w:r>
      <w:r w:rsidRPr="005316C5">
        <w:t xml:space="preserve">fills in June, then all the pools </w:t>
      </w:r>
      <w:r w:rsidR="004836D4">
        <w:t>will</w:t>
      </w:r>
      <w:r w:rsidRPr="005316C5">
        <w:t xml:space="preserve"> dry</w:t>
      </w:r>
      <w:r w:rsidR="004836D4">
        <w:t xml:space="preserve"> out</w:t>
      </w:r>
      <w:r w:rsidRPr="005316C5">
        <w:t xml:space="preserve"> by mid</w:t>
      </w:r>
      <w:r w:rsidR="00504189">
        <w:t>-</w:t>
      </w:r>
      <w:r w:rsidRPr="005316C5">
        <w:t>November (</w:t>
      </w:r>
      <w:r w:rsidR="009C1694">
        <w:t xml:space="preserve">~5.5 </w:t>
      </w:r>
      <w:r w:rsidRPr="005316C5">
        <w:t xml:space="preserve">months).  </w:t>
      </w:r>
    </w:p>
    <w:p w14:paraId="6B1B4501" w14:textId="00BFBADB" w:rsidR="004836D4" w:rsidRDefault="004836D4" w:rsidP="005316C5">
      <w:pPr>
        <w:pStyle w:val="Para0"/>
      </w:pPr>
      <w:r>
        <w:rPr>
          <w:noProof/>
        </w:rPr>
        <w:drawing>
          <wp:inline distT="0" distB="0" distL="0" distR="0" wp14:anchorId="56701649" wp14:editId="6278FBAF">
            <wp:extent cx="5923280" cy="182967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931980" cy="1832357"/>
                    </a:xfrm>
                    <a:prstGeom prst="rect">
                      <a:avLst/>
                    </a:prstGeom>
                  </pic:spPr>
                </pic:pic>
              </a:graphicData>
            </a:graphic>
          </wp:inline>
        </w:drawing>
      </w:r>
    </w:p>
    <w:p w14:paraId="5546B2F6" w14:textId="161D0B35" w:rsidR="004836D4" w:rsidRDefault="00252BBF" w:rsidP="004836D4">
      <w:pPr>
        <w:pStyle w:val="Caption"/>
      </w:pPr>
      <w:bookmarkStart w:id="79" w:name="_Ref41558635"/>
      <w:r>
        <w:t>Figure</w:t>
      </w:r>
      <w:r w:rsidR="004836D4">
        <w:t xml:space="preserve"> </w:t>
      </w:r>
      <w:r w:rsidR="00E67EC2">
        <w:fldChar w:fldCharType="begin"/>
      </w:r>
      <w:r w:rsidR="00E67EC2">
        <w:instrText xml:space="preserve"> STYLEREF 1 \s </w:instrText>
      </w:r>
      <w:r w:rsidR="00E67EC2">
        <w:fldChar w:fldCharType="separate"/>
      </w:r>
      <w:r w:rsidR="00BE5F47">
        <w:rPr>
          <w:noProof/>
        </w:rPr>
        <w:t>5</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7</w:t>
      </w:r>
      <w:r w:rsidR="00E67EC2">
        <w:fldChar w:fldCharType="end"/>
      </w:r>
      <w:bookmarkEnd w:id="79"/>
      <w:r w:rsidR="004836D4">
        <w:t xml:space="preserve"> Drying curve for </w:t>
      </w:r>
      <w:r w:rsidR="009C1694">
        <w:t xml:space="preserve">all </w:t>
      </w:r>
      <w:r w:rsidR="004836D4">
        <w:t xml:space="preserve">pools following a January </w:t>
      </w:r>
      <w:r w:rsidR="009C1694">
        <w:t>(left) or</w:t>
      </w:r>
      <w:r w:rsidR="004836D4">
        <w:t xml:space="preserve"> June</w:t>
      </w:r>
      <w:r w:rsidR="009C1694">
        <w:t xml:space="preserve"> (right)</w:t>
      </w:r>
      <w:r w:rsidR="004836D4">
        <w:t xml:space="preserve"> inundation event.</w:t>
      </w:r>
    </w:p>
    <w:p w14:paraId="5C73E390" w14:textId="77777777" w:rsidR="00B1427C" w:rsidRPr="00B1427C" w:rsidRDefault="00B1427C" w:rsidP="00B1427C">
      <w:pPr>
        <w:pStyle w:val="Para0"/>
      </w:pPr>
    </w:p>
    <w:p w14:paraId="4879749E" w14:textId="13426B43" w:rsidR="00D2322B" w:rsidRDefault="00B1427C" w:rsidP="00824004">
      <w:pPr>
        <w:pStyle w:val="Para0"/>
      </w:pPr>
      <w:r>
        <w:lastRenderedPageBreak/>
        <w:t xml:space="preserve">The water balance can also be applied to individual pools.  </w:t>
      </w:r>
      <w:r>
        <w:fldChar w:fldCharType="begin"/>
      </w:r>
      <w:r>
        <w:instrText xml:space="preserve"> REF _Ref42793199 \h </w:instrText>
      </w:r>
      <w:r>
        <w:fldChar w:fldCharType="separate"/>
      </w:r>
      <w:r w:rsidR="00BE5F47">
        <w:t xml:space="preserve">Figure </w:t>
      </w:r>
      <w:r w:rsidR="00BE5F47">
        <w:rPr>
          <w:noProof/>
        </w:rPr>
        <w:t>5</w:t>
      </w:r>
      <w:r w:rsidR="00BE5F47">
        <w:noBreakHyphen/>
      </w:r>
      <w:r w:rsidR="00BE5F47">
        <w:rPr>
          <w:noProof/>
        </w:rPr>
        <w:t>8</w:t>
      </w:r>
      <w:r>
        <w:fldChar w:fldCharType="end"/>
      </w:r>
      <w:r>
        <w:t xml:space="preserve"> </w:t>
      </w:r>
      <w:r w:rsidR="00824004">
        <w:t xml:space="preserve">shows the drying curve for the total </w:t>
      </w:r>
      <w:r>
        <w:t>Pool 1,</w:t>
      </w:r>
      <w:r w:rsidR="00824004" w:rsidRPr="005316C5">
        <w:t xml:space="preserve"> the largest pool</w:t>
      </w:r>
      <w:r w:rsidR="00824004">
        <w:t xml:space="preserve"> in the series</w:t>
      </w:r>
      <w:r>
        <w:t xml:space="preserve">.  </w:t>
      </w:r>
      <w:r w:rsidR="007B4610">
        <w:t>The left panel shows the specific depth drawdown in Pool 1</w:t>
      </w:r>
      <w:r w:rsidR="002B6525">
        <w:t xml:space="preserve"> following a June inundation</w:t>
      </w:r>
      <w:r w:rsidR="007B4610">
        <w:t xml:space="preserve">. From an initial depth of around </w:t>
      </w:r>
      <w:r w:rsidR="002B6525">
        <w:t>fifty</w:t>
      </w:r>
      <w:r w:rsidR="007B4610">
        <w:t xml:space="preserve"> centimetres</w:t>
      </w:r>
      <w:r w:rsidR="002B6525">
        <w:t xml:space="preserve"> (water elevation 35.10 m AHD), the pool draws down over the period June – November, becoming dry (water elevation 34.50 m AHD) in mid-November. The same pattern is reflected in the surface area drawdown curve for the pool (right panel).</w:t>
      </w:r>
    </w:p>
    <w:p w14:paraId="683FE8B8" w14:textId="7DD0DF94" w:rsidR="00D2322B" w:rsidRDefault="00D2322B" w:rsidP="00824004">
      <w:pPr>
        <w:pStyle w:val="Para0"/>
      </w:pPr>
      <w:r>
        <w:rPr>
          <w:noProof/>
        </w:rPr>
        <w:drawing>
          <wp:inline distT="0" distB="0" distL="0" distR="0" wp14:anchorId="511E29C6" wp14:editId="608A14C0">
            <wp:extent cx="6126480" cy="1919004"/>
            <wp:effectExtent l="0" t="0" r="762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6133015" cy="1921051"/>
                    </a:xfrm>
                    <a:prstGeom prst="rect">
                      <a:avLst/>
                    </a:prstGeom>
                  </pic:spPr>
                </pic:pic>
              </a:graphicData>
            </a:graphic>
          </wp:inline>
        </w:drawing>
      </w:r>
    </w:p>
    <w:p w14:paraId="1A7C88A7" w14:textId="50E06EB7" w:rsidR="002474C4" w:rsidRDefault="00252BBF" w:rsidP="00B1427C">
      <w:pPr>
        <w:pStyle w:val="Caption"/>
      </w:pPr>
      <w:bookmarkStart w:id="80" w:name="_Ref42793199"/>
      <w:r>
        <w:t>Figure</w:t>
      </w:r>
      <w:r w:rsidR="00B1427C">
        <w:t xml:space="preserve"> </w:t>
      </w:r>
      <w:r w:rsidR="00E67EC2">
        <w:fldChar w:fldCharType="begin"/>
      </w:r>
      <w:r w:rsidR="00E67EC2">
        <w:instrText xml:space="preserve"> STYLEREF 1 \s </w:instrText>
      </w:r>
      <w:r w:rsidR="00E67EC2">
        <w:fldChar w:fldCharType="separate"/>
      </w:r>
      <w:r w:rsidR="00BE5F47">
        <w:rPr>
          <w:noProof/>
        </w:rPr>
        <w:t>5</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8</w:t>
      </w:r>
      <w:r w:rsidR="00E67EC2">
        <w:fldChar w:fldCharType="end"/>
      </w:r>
      <w:bookmarkEnd w:id="80"/>
      <w:r w:rsidR="002474C4">
        <w:t xml:space="preserve"> Drying curve for Pool 1, showing depth (left panel) and surface area (right panel).</w:t>
      </w:r>
      <w:r w:rsidR="0046257D">
        <w:t xml:space="preserve"> Blue and red lines represent the individual pool full supply and empty levels respectively. </w:t>
      </w:r>
    </w:p>
    <w:p w14:paraId="49B65F43" w14:textId="4633CA9F" w:rsidR="00A05FAB" w:rsidRDefault="00B1427C" w:rsidP="00A05FAB">
      <w:pPr>
        <w:pStyle w:val="Para0"/>
      </w:pPr>
      <w:r>
        <w:t>From the water balance modelling</w:t>
      </w:r>
      <w:r w:rsidRPr="005316C5">
        <w:t xml:space="preserve">, pools need to be inundated every 3-5 months depending on the time of year in order to maintain some wetted habitat. </w:t>
      </w:r>
      <w:r>
        <w:t xml:space="preserve"> </w:t>
      </w:r>
      <w:r w:rsidR="00DD3F21" w:rsidRPr="00DD3F21">
        <w:t xml:space="preserve">Based on the inundation frequency assessments, pools are inundated 3-4 times per year with a mean interval between inundation of 140-226 days depending on pool location.  This frequency is sufficient to inundate pools regularly enough so that the whole anabranch doesn’t dry (except </w:t>
      </w:r>
      <w:r>
        <w:t xml:space="preserve">perhaps </w:t>
      </w:r>
      <w:r w:rsidR="00DD3F21" w:rsidRPr="00DD3F21">
        <w:t>for very dry years).  The Minta Farm North outfall discharge does not substantially change the frequency of inundation, so pools should continue to be inundated at a suitable frequency to maintain permanently wet conditions (at least in some of the deeper pools).  The modelling indicates that the frequency of inundation does not increase to the point that the anabranch pools would be permanent</w:t>
      </w:r>
      <w:r>
        <w:t>ly</w:t>
      </w:r>
      <w:r w:rsidR="00DD3F21" w:rsidRPr="00DD3F21">
        <w:t xml:space="preserve"> connected (or flowing)</w:t>
      </w:r>
      <w:r w:rsidR="00DD3F21">
        <w:t>, so</w:t>
      </w:r>
      <w:r w:rsidR="00DD3F21" w:rsidRPr="00DD3F21">
        <w:t xml:space="preserve"> the quality of still habitat </w:t>
      </w:r>
      <w:r w:rsidR="00DD3F21">
        <w:t xml:space="preserve">in this reach </w:t>
      </w:r>
      <w:r w:rsidR="00DD3F21" w:rsidRPr="00DD3F21">
        <w:t>should be retained.</w:t>
      </w:r>
      <w:r w:rsidR="00A05FAB" w:rsidRPr="00A05FAB">
        <w:t xml:space="preserve"> </w:t>
      </w:r>
    </w:p>
    <w:p w14:paraId="6C75A35E" w14:textId="74D65351" w:rsidR="00A05FAB" w:rsidRDefault="00A05FAB" w:rsidP="00A05FAB">
      <w:pPr>
        <w:pStyle w:val="SectionSubheading2"/>
      </w:pPr>
      <w:r>
        <w:t>Changed operations of Minta Farm lakes</w:t>
      </w:r>
    </w:p>
    <w:p w14:paraId="1B0316AF" w14:textId="77777777" w:rsidR="00B1427C" w:rsidRDefault="00B1427C" w:rsidP="00B1427C">
      <w:pPr>
        <w:pStyle w:val="Para0"/>
      </w:pPr>
      <w:r>
        <w:t xml:space="preserve">In addition to potential changes in flow in Cardinia Creek as a result of development, there is the potential for a change in the operations of retained lakes in the Minta Farm PSP and this may impact the water regime of the anabranch habitat immediately adjacent the retaining walls of the lakes.  </w:t>
      </w:r>
    </w:p>
    <w:p w14:paraId="49DD8F25" w14:textId="42C500DA" w:rsidR="0046257D" w:rsidRDefault="00B1427C" w:rsidP="00B1427C">
      <w:pPr>
        <w:pStyle w:val="Para0"/>
      </w:pPr>
      <w:r w:rsidRPr="00C566A1">
        <w:t xml:space="preserve">Under current conditions there is occasional </w:t>
      </w:r>
      <w:r w:rsidR="00C43996">
        <w:t xml:space="preserve">(ad hoc) </w:t>
      </w:r>
      <w:r w:rsidRPr="00C566A1">
        <w:t xml:space="preserve">overflow from Pond 3 </w:t>
      </w:r>
      <w:r w:rsidR="00225B97" w:rsidRPr="00C566A1">
        <w:t xml:space="preserve">to </w:t>
      </w:r>
      <w:r w:rsidRPr="00C566A1">
        <w:t xml:space="preserve">the anabranch via an overflow pipe (see </w:t>
      </w:r>
      <w:r w:rsidRPr="00C566A1">
        <w:fldChar w:fldCharType="begin"/>
      </w:r>
      <w:r w:rsidRPr="00C566A1">
        <w:instrText xml:space="preserve"> REF _Ref42599015 \h  \* MERGEFORMAT </w:instrText>
      </w:r>
      <w:r w:rsidRPr="00C566A1">
        <w:fldChar w:fldCharType="separate"/>
      </w:r>
      <w:r w:rsidR="00BE5F47">
        <w:t xml:space="preserve">Figure </w:t>
      </w:r>
      <w:r w:rsidR="00BE5F47">
        <w:rPr>
          <w:noProof/>
        </w:rPr>
        <w:t>3</w:t>
      </w:r>
      <w:r w:rsidR="00BE5F47">
        <w:rPr>
          <w:noProof/>
        </w:rPr>
        <w:noBreakHyphen/>
        <w:t>4</w:t>
      </w:r>
      <w:r w:rsidRPr="00C566A1">
        <w:fldChar w:fldCharType="end"/>
      </w:r>
      <w:r w:rsidRPr="00C566A1">
        <w:t>G)</w:t>
      </w:r>
      <w:r w:rsidR="00225B97" w:rsidRPr="00C566A1">
        <w:t xml:space="preserve">.  </w:t>
      </w:r>
      <w:r w:rsidR="00C43996">
        <w:t>There is no data on the actual overflow regime and the overflow appears to only occur on an ad hoc basis if Pond 3 fills to the overflow point from local catchment runoff.  However, t</w:t>
      </w:r>
      <w:r w:rsidR="00225B97" w:rsidRPr="00C566A1">
        <w:t xml:space="preserve">his overflow may help provide occasional inundation of some </w:t>
      </w:r>
      <w:r w:rsidR="00C43996">
        <w:t xml:space="preserve">local </w:t>
      </w:r>
      <w:r w:rsidR="00225B97" w:rsidRPr="00C566A1">
        <w:t xml:space="preserve">sections of the anabranch.  </w:t>
      </w:r>
      <w:r w:rsidR="0046257D">
        <w:t>Furthermore, seepage from the existing dam walls may be helping to maintain moist conditions in the anabranch pools.</w:t>
      </w:r>
    </w:p>
    <w:p w14:paraId="5D474648" w14:textId="67D0090F" w:rsidR="00B1427C" w:rsidRDefault="00225B97" w:rsidP="00B1427C">
      <w:pPr>
        <w:pStyle w:val="Para0"/>
      </w:pPr>
      <w:r w:rsidRPr="00C566A1">
        <w:t xml:space="preserve">Under full development </w:t>
      </w:r>
      <w:r w:rsidR="00C43996">
        <w:t>Pond 3 will be modified to incorporate an area of ephemeral wetland in the vicinity of the current overflow pipes (Alluvium 2019)</w:t>
      </w:r>
      <w:r w:rsidR="0046257D">
        <w:t xml:space="preserve"> and existing walls will be upgraded</w:t>
      </w:r>
      <w:r w:rsidR="00C43996">
        <w:t>.  The regime for ephemeral wetland is predicted to be similar to the regime of the current system</w:t>
      </w:r>
      <w:r w:rsidR="00121B83">
        <w:t xml:space="preserve"> and the </w:t>
      </w:r>
      <w:r w:rsidR="00C43996">
        <w:t>overflow pipes are intended to be retained</w:t>
      </w:r>
      <w:r w:rsidR="00121B83">
        <w:t>.</w:t>
      </w:r>
      <w:r w:rsidR="00C566A1" w:rsidRPr="00C566A1">
        <w:t xml:space="preserve">  However, it is unclear whether this will nonetheless result in a change in the outflow regime of Pond 3 to the anabranch.</w:t>
      </w:r>
      <w:r w:rsidR="0046257D">
        <w:t xml:space="preserve">  It is also unclear if upgrading of existing dam walls will alter seepage rates that may currently be maintaining moist conditions.</w:t>
      </w:r>
      <w:r w:rsidR="00121B83">
        <w:t xml:space="preserve">  It is recommended that the overflow pipes incorporate a gate valve and the ability to draw water from Pond 3 from time to time in an adaptive management approach to maintain as close as possible the current regime in the Cardinia Creek anabranch.</w:t>
      </w:r>
    </w:p>
    <w:p w14:paraId="54D7FA1D" w14:textId="542DE915" w:rsidR="00C566A1" w:rsidRPr="00B1427C" w:rsidRDefault="00121B83" w:rsidP="00B1427C">
      <w:pPr>
        <w:pStyle w:val="Para0"/>
      </w:pPr>
      <w:r>
        <w:t xml:space="preserve">Although the hydrological regime of dwarf galaxias habitat is predicted to remain unchanged, the </w:t>
      </w:r>
      <w:r w:rsidR="00C566A1">
        <w:t xml:space="preserve">reconstruction of the embankment of Pond 3, </w:t>
      </w:r>
      <w:r>
        <w:t xml:space="preserve">the decommissioning of Pond 2 </w:t>
      </w:r>
      <w:r w:rsidR="00C566A1">
        <w:t xml:space="preserve">and other drainage works have the potential to </w:t>
      </w:r>
      <w:r w:rsidR="00C566A1">
        <w:lastRenderedPageBreak/>
        <w:t>physically impact on the anabranch habitat.  It is important that direct physical impacts are avoided as part of construction works</w:t>
      </w:r>
      <w:r>
        <w:t xml:space="preserve">.  Moreover, it is important that the decommissioning of Pond 2 and the proposed restoration of the floodplain in that area incorporates ecological design principles that protect and enhance dwarf galaxias habitat and provide habitat for other values, such as growling grass frog. </w:t>
      </w:r>
    </w:p>
    <w:p w14:paraId="65A84C2A" w14:textId="38F936B4" w:rsidR="00B1427C" w:rsidRDefault="00B1427C" w:rsidP="00B1427C">
      <w:pPr>
        <w:pStyle w:val="SectionSubheading2"/>
      </w:pPr>
      <w:r>
        <w:t>Summary of risks to dwarf galaxias</w:t>
      </w:r>
    </w:p>
    <w:p w14:paraId="11B80AC0" w14:textId="24A279E7" w:rsidR="00A05FAB" w:rsidRDefault="00A05FAB" w:rsidP="00A05FAB">
      <w:pPr>
        <w:pStyle w:val="Para0"/>
      </w:pPr>
      <w:r>
        <w:t xml:space="preserve">Overall, these results show that changes in </w:t>
      </w:r>
      <w:r w:rsidR="00FA1B93">
        <w:t xml:space="preserve">the frequency and duration of </w:t>
      </w:r>
      <w:r>
        <w:t>flows at the</w:t>
      </w:r>
      <w:r w:rsidR="00FA1B93">
        <w:t xml:space="preserve"> identified</w:t>
      </w:r>
      <w:r>
        <w:t xml:space="preserve"> thresholds</w:t>
      </w:r>
      <w:r w:rsidR="00FA1B93">
        <w:t xml:space="preserve"> downstream of Minta Farm north outfall</w:t>
      </w:r>
      <w:r>
        <w:t xml:space="preserve"> are minimal, and the risk of impacts to critical anabranch filling and drying patterns is very low.</w:t>
      </w:r>
      <w:r w:rsidR="00FA1B93">
        <w:t xml:space="preserve">  Further downstream, the cumulative impact of Minta Farm south outfall increases the duration of some higher flow events slightly, but not the frequency of higher flows to the extent that the inundation regime of potential dwarf galaxias habitat is likely to significant change. </w:t>
      </w:r>
    </w:p>
    <w:p w14:paraId="082B56BB" w14:textId="13B12DDC" w:rsidR="00C566A1" w:rsidRDefault="00C566A1" w:rsidP="00A05FAB">
      <w:pPr>
        <w:pStyle w:val="Para0"/>
      </w:pPr>
      <w:r>
        <w:t xml:space="preserve">Although the risks from changes in flow regime are low, there is a risk to dwarf galaxias habitat from physical disturbance during construction which needs to be carefully managed to avoid impacts. </w:t>
      </w:r>
    </w:p>
    <w:p w14:paraId="145723B1" w14:textId="1530264E" w:rsidR="00DB3E13" w:rsidRDefault="00DB3E13" w:rsidP="00DB3E13">
      <w:pPr>
        <w:pStyle w:val="Heading2"/>
      </w:pPr>
      <w:bookmarkStart w:id="81" w:name="_Toc69480714"/>
      <w:r>
        <w:t xml:space="preserve">Reach </w:t>
      </w:r>
      <w:r w:rsidR="00215295">
        <w:t>2</w:t>
      </w:r>
      <w:r>
        <w:t xml:space="preserve"> </w:t>
      </w:r>
      <w:r w:rsidR="00C566A1">
        <w:t xml:space="preserve">and Reach 3 </w:t>
      </w:r>
      <w:r>
        <w:t xml:space="preserve">– Cardinia Creek drop structure to </w:t>
      </w:r>
      <w:r w:rsidR="00C566A1">
        <w:t>Westernport outlet</w:t>
      </w:r>
      <w:bookmarkEnd w:id="81"/>
    </w:p>
    <w:p w14:paraId="4023BDA1" w14:textId="5A801492" w:rsidR="00DB3E13" w:rsidRDefault="00DB3E13" w:rsidP="00DB3E13">
      <w:pPr>
        <w:pStyle w:val="Para0"/>
      </w:pPr>
      <w:r w:rsidRPr="001F4867">
        <w:rPr>
          <w:b/>
        </w:rPr>
        <w:t>Reach</w:t>
      </w:r>
      <w:r w:rsidR="00C566A1">
        <w:rPr>
          <w:b/>
        </w:rPr>
        <w:t>es</w:t>
      </w:r>
      <w:r w:rsidRPr="001F4867">
        <w:rPr>
          <w:b/>
        </w:rPr>
        <w:t xml:space="preserve"> </w:t>
      </w:r>
      <w:r w:rsidR="00215295">
        <w:rPr>
          <w:b/>
        </w:rPr>
        <w:t>2</w:t>
      </w:r>
      <w:r w:rsidR="00C566A1">
        <w:rPr>
          <w:b/>
        </w:rPr>
        <w:t xml:space="preserve"> and 3</w:t>
      </w:r>
      <w:r>
        <w:t xml:space="preserve"> comprises the stretch of Cardinia Creek, from below the drop structure down to </w:t>
      </w:r>
      <w:r w:rsidR="00C566A1">
        <w:t>the Westernport outlet</w:t>
      </w:r>
      <w:r>
        <w:t xml:space="preserve">. </w:t>
      </w:r>
      <w:r w:rsidR="00C566A1">
        <w:t xml:space="preserve"> These reaches</w:t>
      </w:r>
      <w:r>
        <w:t xml:space="preserve"> include the outfalls from Officer South </w:t>
      </w:r>
      <w:r w:rsidR="00E110AF">
        <w:t xml:space="preserve">Employment </w:t>
      </w:r>
      <w:r>
        <w:t xml:space="preserve">(OS) and Cardinia South (CS) PSPs. The </w:t>
      </w:r>
      <w:r w:rsidR="00215295">
        <w:t xml:space="preserve">proposed </w:t>
      </w:r>
      <w:r w:rsidR="0023198F">
        <w:t>Officer South Employment PSP</w:t>
      </w:r>
      <w:r w:rsidR="00215295">
        <w:t xml:space="preserve"> </w:t>
      </w:r>
      <w:r>
        <w:t xml:space="preserve">outfall flows into the creek near the corner of </w:t>
      </w:r>
      <w:r w:rsidR="00215295">
        <w:t>Officer South Road and Patterson Road</w:t>
      </w:r>
      <w:r>
        <w:t xml:space="preserve">, </w:t>
      </w:r>
      <w:r w:rsidR="004F1471">
        <w:t xml:space="preserve">and the </w:t>
      </w:r>
      <w:r w:rsidR="00215295">
        <w:t xml:space="preserve">proposed </w:t>
      </w:r>
      <w:r w:rsidR="004F1471">
        <w:t xml:space="preserve">Cardinia South </w:t>
      </w:r>
      <w:r w:rsidR="00215295">
        <w:t xml:space="preserve">PSP </w:t>
      </w:r>
      <w:r w:rsidR="004F1471">
        <w:t xml:space="preserve">outfall </w:t>
      </w:r>
      <w:r w:rsidR="00215295">
        <w:t xml:space="preserve">flows in just upstream of Chasemore Road (see </w:t>
      </w:r>
      <w:r w:rsidR="00215295">
        <w:fldChar w:fldCharType="begin"/>
      </w:r>
      <w:r w:rsidR="00215295">
        <w:instrText xml:space="preserve"> REF _Ref42591723 \h </w:instrText>
      </w:r>
      <w:r w:rsidR="00215295">
        <w:fldChar w:fldCharType="separate"/>
      </w:r>
      <w:r w:rsidR="00BE5F47">
        <w:t xml:space="preserve">Figure </w:t>
      </w:r>
      <w:r w:rsidR="00BE5F47">
        <w:rPr>
          <w:noProof/>
        </w:rPr>
        <w:t>2</w:t>
      </w:r>
      <w:r w:rsidR="00BE5F47">
        <w:noBreakHyphen/>
      </w:r>
      <w:r w:rsidR="00BE5F47">
        <w:rPr>
          <w:noProof/>
        </w:rPr>
        <w:t>2</w:t>
      </w:r>
      <w:r w:rsidR="00215295">
        <w:fldChar w:fldCharType="end"/>
      </w:r>
      <w:r w:rsidR="00215295">
        <w:t>).</w:t>
      </w:r>
    </w:p>
    <w:p w14:paraId="147E2148" w14:textId="43E626F2" w:rsidR="005A2EE3" w:rsidRDefault="00215295" w:rsidP="00BF619D">
      <w:pPr>
        <w:pStyle w:val="Para0"/>
      </w:pPr>
      <w:r>
        <w:t xml:space="preserve">Based on recent surveys, Australian grayling have been recorded in the upper parts of </w:t>
      </w:r>
      <w:r w:rsidR="00C566A1">
        <w:t>R</w:t>
      </w:r>
      <w:r>
        <w:t>each</w:t>
      </w:r>
      <w:r w:rsidR="00C566A1">
        <w:t xml:space="preserve"> 2</w:t>
      </w:r>
      <w:r>
        <w:t>.  This area includes pool and artificial riffle habitat (provided by rock ramp fishways)</w:t>
      </w:r>
      <w:r w:rsidR="005A2EE3">
        <w:t xml:space="preserve">.  However, they also need to move through </w:t>
      </w:r>
      <w:r w:rsidR="00C566A1">
        <w:t>Reach 3</w:t>
      </w:r>
      <w:r w:rsidR="005A2EE3">
        <w:t xml:space="preserve"> to and from Westernport Bay</w:t>
      </w:r>
      <w:r w:rsidR="0000576C">
        <w:t xml:space="preserve"> (Reach 3)</w:t>
      </w:r>
      <w:r w:rsidR="005A2EE3">
        <w:t>.</w:t>
      </w:r>
    </w:p>
    <w:p w14:paraId="289DAD69" w14:textId="72D168D8" w:rsidR="00A679F3" w:rsidRDefault="00BF619D" w:rsidP="0000576C">
      <w:pPr>
        <w:pStyle w:val="Para0"/>
      </w:pPr>
      <w:r>
        <w:t xml:space="preserve">The flow components required to support </w:t>
      </w:r>
      <w:r w:rsidR="005A2EE3">
        <w:t xml:space="preserve">Australian </w:t>
      </w:r>
      <w:r w:rsidR="0045757F">
        <w:t>grayling</w:t>
      </w:r>
      <w:r>
        <w:t xml:space="preserve"> </w:t>
      </w:r>
      <w:r w:rsidR="005A2EE3">
        <w:t>include low flows</w:t>
      </w:r>
      <w:r>
        <w:t xml:space="preserve"> to maintain depth over riffle habitats and fishways, autumn fresh flows to trigger downstream migration and spawning, and winter/spring freshes to facilitate upstream migration by juveniles.</w:t>
      </w:r>
      <w:r w:rsidR="005A2EE3">
        <w:t xml:space="preserve">  Hence t</w:t>
      </w:r>
      <w:r w:rsidR="00DB3E13">
        <w:t xml:space="preserve">he focus of the risk assessment for this reach </w:t>
      </w:r>
      <w:r w:rsidR="005A2EE3">
        <w:t xml:space="preserve">is an assessment </w:t>
      </w:r>
      <w:r w:rsidR="00DB3E13">
        <w:t xml:space="preserve">of potential changes in flow which could affect </w:t>
      </w:r>
      <w:r w:rsidR="005A2EE3">
        <w:t>low flow magnitudes and frequency</w:t>
      </w:r>
      <w:r w:rsidR="00DC02E0">
        <w:t>,</w:t>
      </w:r>
      <w:r w:rsidR="005A2EE3">
        <w:t xml:space="preserve"> and duration of </w:t>
      </w:r>
      <w:r w:rsidR="00A679F3">
        <w:t>fresh</w:t>
      </w:r>
      <w:r w:rsidR="005A2EE3">
        <w:t>es that trigger migration and spawning.</w:t>
      </w:r>
    </w:p>
    <w:p w14:paraId="34FE313E" w14:textId="128CE8CC" w:rsidR="005A375E" w:rsidRDefault="0000576C" w:rsidP="0000576C">
      <w:pPr>
        <w:pStyle w:val="Para0"/>
      </w:pPr>
      <w:r>
        <w:t xml:space="preserve">From a flow perspective there is no reduction in flow components that might represent a risk to Australian grayling in the upper parts of Reach 2 (as </w:t>
      </w:r>
      <w:r w:rsidR="005D15AA">
        <w:t>assessed</w:t>
      </w:r>
      <w:r>
        <w:t xml:space="preserve"> by flow </w:t>
      </w:r>
      <w:r w:rsidR="00816DF1">
        <w:t>at</w:t>
      </w:r>
      <w:r w:rsidR="005D15AA">
        <w:t xml:space="preserve"> the</w:t>
      </w:r>
      <w:r>
        <w:t xml:space="preserve"> Cardinia Drop Structure)</w:t>
      </w:r>
      <w:r w:rsidR="005A375E">
        <w:t xml:space="preserve"> (</w:t>
      </w:r>
      <w:r w:rsidR="00225B97">
        <w:fldChar w:fldCharType="begin"/>
      </w:r>
      <w:r w:rsidR="00225B97">
        <w:instrText xml:space="preserve"> REF _Ref42862001 \h </w:instrText>
      </w:r>
      <w:r w:rsidR="00225B97">
        <w:fldChar w:fldCharType="separate"/>
      </w:r>
      <w:r w:rsidR="00BE5F47">
        <w:t xml:space="preserve">Table </w:t>
      </w:r>
      <w:r w:rsidR="00BE5F47">
        <w:rPr>
          <w:noProof/>
        </w:rPr>
        <w:t>5</w:t>
      </w:r>
      <w:r w:rsidR="00BE5F47">
        <w:noBreakHyphen/>
      </w:r>
      <w:r w:rsidR="00BE5F47">
        <w:rPr>
          <w:noProof/>
        </w:rPr>
        <w:t>9</w:t>
      </w:r>
      <w:r w:rsidR="00225B97">
        <w:fldChar w:fldCharType="end"/>
      </w:r>
      <w:r w:rsidR="005A375E">
        <w:t>)</w:t>
      </w:r>
      <w:r>
        <w:t xml:space="preserve">.  </w:t>
      </w:r>
      <w:r w:rsidR="005A375E">
        <w:t xml:space="preserve">For example, there is no reduction in summer low flows (they are &gt;5 ML/d 100% of the time), so there is no loss of access to low flow habitat or reduction in the percent of time that the fishway is operational at low flow.  </w:t>
      </w:r>
      <w:r>
        <w:t xml:space="preserve">However, there is an increase in the frequency and duration of some flows downstream of the Officer South outfall location as </w:t>
      </w:r>
      <w:r w:rsidR="00816DF1">
        <w:t>assessed</w:t>
      </w:r>
      <w:r>
        <w:t xml:space="preserve"> by flow at Chasemore Road.  This outfall joins the creek about </w:t>
      </w:r>
      <w:r w:rsidR="00F11047">
        <w:t>halfway</w:t>
      </w:r>
      <w:r>
        <w:t xml:space="preserve"> along Reach 2 but downstream of the section of creek where </w:t>
      </w:r>
      <w:r w:rsidR="00D85D5E">
        <w:t>most</w:t>
      </w:r>
      <w:r>
        <w:t xml:space="preserve"> </w:t>
      </w:r>
      <w:r w:rsidR="00D85D5E">
        <w:t xml:space="preserve">Australian </w:t>
      </w:r>
      <w:r>
        <w:t xml:space="preserve">grayling have been recorded.  Notably, the duration of Autumn freshes of various magnitudes increases.  </w:t>
      </w:r>
    </w:p>
    <w:p w14:paraId="3B0F5CFF" w14:textId="77777777" w:rsidR="00225B97" w:rsidRDefault="005A375E" w:rsidP="0000576C">
      <w:pPr>
        <w:pStyle w:val="Para0"/>
      </w:pPr>
      <w:r>
        <w:t>For</w:t>
      </w:r>
      <w:r w:rsidR="0000576C">
        <w:t xml:space="preserve"> </w:t>
      </w:r>
      <w:r w:rsidR="00225B97">
        <w:t>autumn fresh flows a</w:t>
      </w:r>
      <w:r w:rsidR="0000576C">
        <w:t xml:space="preserve"> flow event of 75</w:t>
      </w:r>
      <w:r w:rsidR="00816DF1">
        <w:t xml:space="preserve"> </w:t>
      </w:r>
      <w:r w:rsidR="0000576C">
        <w:t xml:space="preserve">ML/d currently lasts </w:t>
      </w:r>
      <w:r w:rsidR="00816DF1">
        <w:t xml:space="preserve">an average </w:t>
      </w:r>
      <w:r w:rsidR="0000576C">
        <w:t>5.2 days at Chasemore Road and will increase to 7.8 days under full development.  Also, under current conditions there is on average 1.25 event</w:t>
      </w:r>
      <w:r w:rsidR="00816DF1">
        <w:t>s &gt;</w:t>
      </w:r>
      <w:r w:rsidR="0000576C">
        <w:t xml:space="preserve">75 ML/d and this will increase to an average of 2.1 events per autumn.  </w:t>
      </w:r>
      <w:r w:rsidR="00816DF1">
        <w:t>T</w:t>
      </w:r>
      <w:r w:rsidR="0000576C">
        <w:t>he typical autumn event that would last for 10-15 days</w:t>
      </w:r>
      <w:r w:rsidR="00816DF1">
        <w:t xml:space="preserve"> under current conditions</w:t>
      </w:r>
      <w:r w:rsidR="0000576C">
        <w:t xml:space="preserve"> (</w:t>
      </w:r>
      <w:r w:rsidR="00816DF1">
        <w:t xml:space="preserve">a </w:t>
      </w:r>
      <w:r w:rsidR="0000576C">
        <w:t xml:space="preserve">duration </w:t>
      </w:r>
      <w:r w:rsidR="00816DF1">
        <w:t>that is</w:t>
      </w:r>
      <w:r w:rsidR="0000576C">
        <w:t xml:space="preserve"> similar to spawning event</w:t>
      </w:r>
      <w:r w:rsidR="00816DF1">
        <w:t>s</w:t>
      </w:r>
      <w:r w:rsidR="0000576C">
        <w:t xml:space="preserve"> in nearby streams) is 30 ML/d </w:t>
      </w:r>
      <w:r w:rsidR="00816DF1">
        <w:t>at the Cardinia Drop Structure.  Under full de</w:t>
      </w:r>
      <w:r w:rsidR="0000576C">
        <w:t xml:space="preserve">velopment the </w:t>
      </w:r>
      <w:r w:rsidR="00816DF1">
        <w:t xml:space="preserve">average </w:t>
      </w:r>
      <w:r w:rsidR="0000576C">
        <w:t xml:space="preserve">duration of </w:t>
      </w:r>
      <w:r w:rsidR="00816DF1">
        <w:t>a 3</w:t>
      </w:r>
      <w:r w:rsidR="0000576C">
        <w:t xml:space="preserve">0 ML/d </w:t>
      </w:r>
      <w:r w:rsidR="00816DF1">
        <w:t xml:space="preserve">flow event increases to 20 days at Chasemore Road and 32 days at the Westernport Bay outlet.  </w:t>
      </w:r>
      <w:r w:rsidR="00225B97">
        <w:t>There is a similar slight increase in the frequency and duration of spring freshes.</w:t>
      </w:r>
    </w:p>
    <w:p w14:paraId="6678E8D7" w14:textId="29F4EDA5" w:rsidR="0000576C" w:rsidRDefault="00816DF1" w:rsidP="00C566A1">
      <w:pPr>
        <w:pStyle w:val="Para0"/>
      </w:pPr>
      <w:r>
        <w:t xml:space="preserve">The increase in the duration of autumn events is </w:t>
      </w:r>
      <w:r w:rsidR="00225B97">
        <w:t xml:space="preserve">a result of increased runoff from the PSP areas contributing to flows already occurring from upstream areas (i.e. they are flow events that occur on top of already occurring catchment events as a result of increased imperviousness).  </w:t>
      </w:r>
    </w:p>
    <w:p w14:paraId="4FB7A9D4" w14:textId="629AC410" w:rsidR="00121B83" w:rsidRDefault="00121B83" w:rsidP="00121B83">
      <w:pPr>
        <w:pStyle w:val="SectionSubheading2"/>
      </w:pPr>
      <w:r>
        <w:lastRenderedPageBreak/>
        <w:t>Summary of risks to Australian grayling</w:t>
      </w:r>
    </w:p>
    <w:p w14:paraId="4FA11850" w14:textId="0621C9C9" w:rsidR="00C566A1" w:rsidRDefault="00225B97" w:rsidP="0046257D">
      <w:pPr>
        <w:pStyle w:val="Para0"/>
        <w:rPr>
          <w:sz w:val="18"/>
          <w:szCs w:val="18"/>
        </w:rPr>
      </w:pPr>
      <w:r>
        <w:t>Although the increase in duration of flow events is unlikely to represent a risk to life history ques for Australian grayling, there is the potential for the peak magnitude of these events to also increase, which poses a risk to habitat conditions.  These impacts act discussed in the next section.</w:t>
      </w:r>
    </w:p>
    <w:p w14:paraId="3AE18F41" w14:textId="2951F971" w:rsidR="007A603A" w:rsidRDefault="00425457" w:rsidP="0000576C">
      <w:pPr>
        <w:pStyle w:val="Caption"/>
      </w:pPr>
      <w:bookmarkStart w:id="82" w:name="_Ref42862001"/>
      <w:r>
        <w:t xml:space="preserve">Table </w:t>
      </w:r>
      <w:r w:rsidR="00E67EC2">
        <w:fldChar w:fldCharType="begin"/>
      </w:r>
      <w:r w:rsidR="00E67EC2">
        <w:instrText xml:space="preserve"> STYLEREF 1 \s </w:instrText>
      </w:r>
      <w:r w:rsidR="00E67EC2">
        <w:fldChar w:fldCharType="separate"/>
      </w:r>
      <w:r w:rsidR="00BE5F47">
        <w:rPr>
          <w:noProof/>
        </w:rPr>
        <w:t>5</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9</w:t>
      </w:r>
      <w:r w:rsidR="00E67EC2">
        <w:fldChar w:fldCharType="end"/>
      </w:r>
      <w:bookmarkEnd w:id="82"/>
      <w:r w:rsidR="0000576C">
        <w:t xml:space="preserve"> </w:t>
      </w:r>
      <w:r w:rsidR="00D85D5E">
        <w:t>Current and modelled future flow thresholds for components relevant to Australian grayling</w:t>
      </w:r>
    </w:p>
    <w:tbl>
      <w:tblPr>
        <w:tblStyle w:val="TableGrid"/>
        <w:tblW w:w="10201" w:type="dxa"/>
        <w:tblLook w:val="04A0" w:firstRow="1" w:lastRow="0" w:firstColumn="1" w:lastColumn="0" w:noHBand="0" w:noVBand="1"/>
      </w:tblPr>
      <w:tblGrid>
        <w:gridCol w:w="955"/>
        <w:gridCol w:w="1089"/>
        <w:gridCol w:w="1495"/>
        <w:gridCol w:w="992"/>
        <w:gridCol w:w="945"/>
        <w:gridCol w:w="945"/>
        <w:gridCol w:w="945"/>
        <w:gridCol w:w="945"/>
        <w:gridCol w:w="945"/>
        <w:gridCol w:w="945"/>
      </w:tblGrid>
      <w:tr w:rsidR="00816DF1" w:rsidRPr="00D85D5E" w14:paraId="156511D4" w14:textId="77777777" w:rsidTr="00816DF1">
        <w:tc>
          <w:tcPr>
            <w:tcW w:w="955" w:type="dxa"/>
            <w:vMerge w:val="restart"/>
            <w:tcBorders>
              <w:top w:val="single" w:sz="4" w:space="0" w:color="auto"/>
              <w:left w:val="single" w:sz="4" w:space="0" w:color="auto"/>
              <w:right w:val="single" w:sz="4" w:space="0" w:color="auto"/>
            </w:tcBorders>
            <w:tcMar>
              <w:top w:w="0" w:type="dxa"/>
              <w:left w:w="34" w:type="dxa"/>
              <w:bottom w:w="0" w:type="dxa"/>
              <w:right w:w="34" w:type="dxa"/>
            </w:tcMar>
            <w:vAlign w:val="bottom"/>
            <w:hideMark/>
          </w:tcPr>
          <w:p w14:paraId="3B430542" w14:textId="77777777" w:rsidR="00816DF1" w:rsidRPr="00D85D5E" w:rsidRDefault="00816DF1" w:rsidP="00816DF1">
            <w:pPr>
              <w:pStyle w:val="Tablesmallheading"/>
              <w:spacing w:line="200" w:lineRule="atLeast"/>
              <w:rPr>
                <w:rFonts w:asciiTheme="majorHAnsi" w:hAnsiTheme="majorHAnsi" w:cstheme="majorHAnsi"/>
                <w:sz w:val="12"/>
                <w:szCs w:val="12"/>
                <w:lang w:val="en-AU"/>
              </w:rPr>
            </w:pPr>
            <w:r w:rsidRPr="00D85D5E">
              <w:rPr>
                <w:rFonts w:asciiTheme="majorHAnsi" w:hAnsiTheme="majorHAnsi" w:cstheme="majorHAnsi"/>
                <w:sz w:val="12"/>
                <w:szCs w:val="12"/>
              </w:rPr>
              <w:t>Season</w:t>
            </w:r>
          </w:p>
        </w:tc>
        <w:tc>
          <w:tcPr>
            <w:tcW w:w="2584" w:type="dxa"/>
            <w:gridSpan w:val="2"/>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hideMark/>
          </w:tcPr>
          <w:p w14:paraId="152D7DBC" w14:textId="77777777" w:rsidR="00816DF1" w:rsidRPr="00D85D5E" w:rsidRDefault="00816DF1">
            <w:pPr>
              <w:pStyle w:val="Tablesmallheading"/>
              <w:spacing w:line="200" w:lineRule="atLeast"/>
              <w:rPr>
                <w:rFonts w:asciiTheme="majorHAnsi" w:hAnsiTheme="majorHAnsi" w:cstheme="majorHAnsi"/>
                <w:sz w:val="12"/>
                <w:szCs w:val="12"/>
              </w:rPr>
            </w:pPr>
            <w:r w:rsidRPr="00D85D5E">
              <w:rPr>
                <w:rFonts w:asciiTheme="majorHAnsi" w:hAnsiTheme="majorHAnsi" w:cstheme="majorHAnsi"/>
                <w:sz w:val="12"/>
                <w:szCs w:val="12"/>
              </w:rPr>
              <w:t xml:space="preserve">Flow component </w:t>
            </w:r>
          </w:p>
        </w:tc>
        <w:tc>
          <w:tcPr>
            <w:tcW w:w="992" w:type="dxa"/>
            <w:vMerge w:val="restart"/>
            <w:tcBorders>
              <w:top w:val="single" w:sz="4" w:space="0" w:color="auto"/>
              <w:left w:val="single" w:sz="4" w:space="0" w:color="auto"/>
              <w:right w:val="single" w:sz="4" w:space="0" w:color="auto"/>
            </w:tcBorders>
            <w:tcMar>
              <w:top w:w="0" w:type="dxa"/>
              <w:left w:w="34" w:type="dxa"/>
              <w:bottom w:w="0" w:type="dxa"/>
              <w:right w:w="34" w:type="dxa"/>
            </w:tcMar>
            <w:vAlign w:val="bottom"/>
            <w:hideMark/>
          </w:tcPr>
          <w:p w14:paraId="0D3D5716" w14:textId="77777777" w:rsidR="00816DF1" w:rsidRPr="00D85D5E" w:rsidRDefault="00816DF1" w:rsidP="00816DF1">
            <w:pPr>
              <w:pStyle w:val="Tablesmallheading"/>
              <w:spacing w:line="200" w:lineRule="atLeast"/>
              <w:rPr>
                <w:rFonts w:asciiTheme="majorHAnsi" w:hAnsiTheme="majorHAnsi" w:cstheme="majorHAnsi"/>
                <w:sz w:val="12"/>
                <w:szCs w:val="12"/>
              </w:rPr>
            </w:pPr>
            <w:r w:rsidRPr="00D85D5E">
              <w:rPr>
                <w:rFonts w:asciiTheme="majorHAnsi" w:hAnsiTheme="majorHAnsi" w:cstheme="majorHAnsi"/>
                <w:sz w:val="12"/>
                <w:szCs w:val="12"/>
              </w:rPr>
              <w:t>Thresholds</w:t>
            </w:r>
          </w:p>
        </w:tc>
        <w:tc>
          <w:tcPr>
            <w:tcW w:w="1890" w:type="dxa"/>
            <w:gridSpan w:val="2"/>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bottom"/>
            <w:hideMark/>
          </w:tcPr>
          <w:p w14:paraId="0542ACE7" w14:textId="765E8C7D" w:rsidR="00816DF1" w:rsidRPr="00D85D5E" w:rsidRDefault="00816DF1" w:rsidP="00816DF1">
            <w:pPr>
              <w:pStyle w:val="Tablesmallheading"/>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At Cardinia Drop structure</w:t>
            </w:r>
          </w:p>
        </w:tc>
        <w:tc>
          <w:tcPr>
            <w:tcW w:w="1890" w:type="dxa"/>
            <w:gridSpan w:val="2"/>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bottom"/>
            <w:hideMark/>
          </w:tcPr>
          <w:p w14:paraId="69EFDF73" w14:textId="24408C86" w:rsidR="00816DF1" w:rsidRPr="00D85D5E" w:rsidRDefault="00816DF1" w:rsidP="00816DF1">
            <w:pPr>
              <w:pStyle w:val="Tablesmallheading"/>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At Chasemore Rd</w:t>
            </w:r>
          </w:p>
        </w:tc>
        <w:tc>
          <w:tcPr>
            <w:tcW w:w="1890" w:type="dxa"/>
            <w:gridSpan w:val="2"/>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bottom"/>
            <w:hideMark/>
          </w:tcPr>
          <w:p w14:paraId="325C2E32" w14:textId="77777777" w:rsidR="00816DF1" w:rsidRPr="00D85D5E" w:rsidRDefault="00816DF1" w:rsidP="00816DF1">
            <w:pPr>
              <w:pStyle w:val="Tablesmallheading"/>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At WPB outlet</w:t>
            </w:r>
          </w:p>
        </w:tc>
      </w:tr>
      <w:tr w:rsidR="00816DF1" w:rsidRPr="00D85D5E" w14:paraId="2E43F30A" w14:textId="77777777" w:rsidTr="00816DF1">
        <w:tc>
          <w:tcPr>
            <w:tcW w:w="955" w:type="dxa"/>
            <w:vMerge/>
            <w:tcBorders>
              <w:left w:val="single" w:sz="4" w:space="0" w:color="auto"/>
              <w:bottom w:val="single" w:sz="4" w:space="0" w:color="auto"/>
              <w:right w:val="single" w:sz="4" w:space="0" w:color="auto"/>
            </w:tcBorders>
            <w:tcMar>
              <w:top w:w="0" w:type="dxa"/>
              <w:left w:w="34" w:type="dxa"/>
              <w:bottom w:w="0" w:type="dxa"/>
              <w:right w:w="34" w:type="dxa"/>
            </w:tcMar>
          </w:tcPr>
          <w:p w14:paraId="6169A770" w14:textId="77777777" w:rsidR="00816DF1" w:rsidRPr="00D85D5E" w:rsidRDefault="00816DF1">
            <w:pPr>
              <w:pStyle w:val="Tablesmallheading"/>
              <w:spacing w:line="200" w:lineRule="atLeast"/>
              <w:rPr>
                <w:rFonts w:asciiTheme="majorHAnsi" w:hAnsiTheme="majorHAnsi" w:cstheme="majorHAnsi"/>
                <w:sz w:val="12"/>
                <w:szCs w:val="12"/>
              </w:rPr>
            </w:pPr>
          </w:p>
        </w:tc>
        <w:tc>
          <w:tcPr>
            <w:tcW w:w="1089"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hideMark/>
          </w:tcPr>
          <w:p w14:paraId="2D496116" w14:textId="77777777" w:rsidR="00816DF1" w:rsidRPr="00D85D5E" w:rsidRDefault="00816DF1">
            <w:pPr>
              <w:pStyle w:val="Tablesmallheading"/>
              <w:spacing w:line="200" w:lineRule="atLeast"/>
              <w:rPr>
                <w:rFonts w:asciiTheme="majorHAnsi" w:hAnsiTheme="majorHAnsi" w:cstheme="majorHAnsi"/>
                <w:sz w:val="12"/>
                <w:szCs w:val="12"/>
              </w:rPr>
            </w:pPr>
            <w:r w:rsidRPr="00D85D5E">
              <w:rPr>
                <w:rFonts w:asciiTheme="majorHAnsi" w:hAnsiTheme="majorHAnsi" w:cstheme="majorHAnsi"/>
                <w:sz w:val="12"/>
                <w:szCs w:val="12"/>
              </w:rPr>
              <w:t>Component</w:t>
            </w:r>
          </w:p>
        </w:tc>
        <w:tc>
          <w:tcPr>
            <w:tcW w:w="149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hideMark/>
          </w:tcPr>
          <w:p w14:paraId="731E43F5" w14:textId="77777777" w:rsidR="00816DF1" w:rsidRPr="00D85D5E" w:rsidRDefault="00816DF1">
            <w:pPr>
              <w:pStyle w:val="Tablesmallheading"/>
              <w:spacing w:line="200" w:lineRule="atLeast"/>
              <w:rPr>
                <w:rFonts w:asciiTheme="majorHAnsi" w:hAnsiTheme="majorHAnsi" w:cstheme="majorHAnsi"/>
                <w:sz w:val="12"/>
                <w:szCs w:val="12"/>
              </w:rPr>
            </w:pPr>
            <w:r w:rsidRPr="00D85D5E">
              <w:rPr>
                <w:rFonts w:asciiTheme="majorHAnsi" w:hAnsiTheme="majorHAnsi" w:cstheme="majorHAnsi"/>
                <w:sz w:val="12"/>
                <w:szCs w:val="12"/>
              </w:rPr>
              <w:t>Requirement</w:t>
            </w:r>
          </w:p>
        </w:tc>
        <w:tc>
          <w:tcPr>
            <w:tcW w:w="992" w:type="dxa"/>
            <w:vMerge/>
            <w:tcBorders>
              <w:left w:val="single" w:sz="4" w:space="0" w:color="auto"/>
              <w:bottom w:val="single" w:sz="4" w:space="0" w:color="auto"/>
              <w:right w:val="single" w:sz="4" w:space="0" w:color="auto"/>
            </w:tcBorders>
            <w:tcMar>
              <w:top w:w="0" w:type="dxa"/>
              <w:left w:w="34" w:type="dxa"/>
              <w:bottom w:w="0" w:type="dxa"/>
              <w:right w:w="34" w:type="dxa"/>
            </w:tcMar>
          </w:tcPr>
          <w:p w14:paraId="6B220C55" w14:textId="77777777" w:rsidR="00816DF1" w:rsidRPr="00D85D5E" w:rsidRDefault="00816DF1">
            <w:pPr>
              <w:pStyle w:val="Tablesmallheading"/>
              <w:spacing w:line="200" w:lineRule="atLeast"/>
              <w:rPr>
                <w:rFonts w:asciiTheme="majorHAnsi" w:hAnsiTheme="majorHAnsi" w:cstheme="majorHAnsi"/>
                <w:sz w:val="12"/>
                <w:szCs w:val="12"/>
              </w:rPr>
            </w:pP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bottom"/>
            <w:hideMark/>
          </w:tcPr>
          <w:p w14:paraId="143FFC50" w14:textId="77777777" w:rsidR="00816DF1" w:rsidRPr="00D85D5E" w:rsidRDefault="00816DF1" w:rsidP="00816DF1">
            <w:pPr>
              <w:pStyle w:val="Tablesmallheading"/>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Current</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bottom"/>
            <w:hideMark/>
          </w:tcPr>
          <w:p w14:paraId="75BF3E09" w14:textId="77777777" w:rsidR="00816DF1" w:rsidRPr="00D85D5E" w:rsidRDefault="00816DF1" w:rsidP="00816DF1">
            <w:pPr>
              <w:pStyle w:val="Tablesmallheading"/>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+MFN+MFS</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bottom"/>
            <w:hideMark/>
          </w:tcPr>
          <w:p w14:paraId="44BBC938" w14:textId="77777777" w:rsidR="00816DF1" w:rsidRPr="00D85D5E" w:rsidRDefault="00816DF1" w:rsidP="00816DF1">
            <w:pPr>
              <w:pStyle w:val="Tablesmallheading"/>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Current</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bottom"/>
            <w:hideMark/>
          </w:tcPr>
          <w:p w14:paraId="73233D30" w14:textId="77777777" w:rsidR="00816DF1" w:rsidRPr="00D85D5E" w:rsidRDefault="00816DF1" w:rsidP="00816DF1">
            <w:pPr>
              <w:pStyle w:val="Tablesmallheading"/>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+MF+OS+CS</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bottom"/>
            <w:hideMark/>
          </w:tcPr>
          <w:p w14:paraId="29EF3E18" w14:textId="77777777" w:rsidR="00816DF1" w:rsidRPr="00D85D5E" w:rsidRDefault="00816DF1" w:rsidP="00816DF1">
            <w:pPr>
              <w:pStyle w:val="Tablesmallheading"/>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Current</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bottom"/>
            <w:hideMark/>
          </w:tcPr>
          <w:p w14:paraId="5A2DE8AC" w14:textId="77777777" w:rsidR="00816DF1" w:rsidRPr="00D85D5E" w:rsidRDefault="00816DF1" w:rsidP="00816DF1">
            <w:pPr>
              <w:pStyle w:val="Tablesmallheading"/>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+MF+OS+CS</w:t>
            </w:r>
          </w:p>
        </w:tc>
      </w:tr>
      <w:tr w:rsidR="00D85D5E" w:rsidRPr="00D85D5E" w14:paraId="41573A54" w14:textId="77777777" w:rsidTr="005A375E">
        <w:tc>
          <w:tcPr>
            <w:tcW w:w="955" w:type="dxa"/>
            <w:vMerge w:val="restart"/>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hideMark/>
          </w:tcPr>
          <w:p w14:paraId="7FCF9754" w14:textId="77777777" w:rsidR="00D85D5E" w:rsidRPr="00D85D5E" w:rsidRDefault="00D85D5E">
            <w:pPr>
              <w:pStyle w:val="Tablesmallheading"/>
              <w:spacing w:line="200" w:lineRule="atLeast"/>
              <w:rPr>
                <w:rFonts w:asciiTheme="majorHAnsi" w:hAnsiTheme="majorHAnsi" w:cstheme="majorHAnsi"/>
                <w:sz w:val="12"/>
                <w:szCs w:val="12"/>
              </w:rPr>
            </w:pPr>
            <w:r w:rsidRPr="00D85D5E">
              <w:rPr>
                <w:rFonts w:asciiTheme="majorHAnsi" w:hAnsiTheme="majorHAnsi" w:cstheme="majorHAnsi"/>
                <w:sz w:val="12"/>
                <w:szCs w:val="12"/>
              </w:rPr>
              <w:t>Summer low flows (December-May)</w:t>
            </w:r>
          </w:p>
        </w:tc>
        <w:tc>
          <w:tcPr>
            <w:tcW w:w="1089" w:type="dxa"/>
            <w:vMerge w:val="restart"/>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hideMark/>
          </w:tcPr>
          <w:p w14:paraId="59ED6368" w14:textId="77777777" w:rsidR="00D85D5E" w:rsidRPr="00D85D5E" w:rsidRDefault="00D85D5E">
            <w:pPr>
              <w:pStyle w:val="Tablesmalltext"/>
              <w:spacing w:line="200" w:lineRule="atLeast"/>
              <w:rPr>
                <w:rFonts w:asciiTheme="majorHAnsi" w:hAnsiTheme="majorHAnsi" w:cstheme="majorHAnsi"/>
                <w:sz w:val="12"/>
                <w:szCs w:val="12"/>
              </w:rPr>
            </w:pPr>
            <w:r w:rsidRPr="00D85D5E">
              <w:rPr>
                <w:rFonts w:asciiTheme="majorHAnsi" w:hAnsiTheme="majorHAnsi" w:cstheme="majorHAnsi"/>
                <w:sz w:val="12"/>
                <w:szCs w:val="12"/>
              </w:rPr>
              <w:t>Magnitude (percentage of time above specific magnitudes)</w:t>
            </w:r>
          </w:p>
        </w:tc>
        <w:tc>
          <w:tcPr>
            <w:tcW w:w="1495" w:type="dxa"/>
            <w:vMerge w:val="restart"/>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hideMark/>
          </w:tcPr>
          <w:p w14:paraId="030B6A39" w14:textId="0B848F78" w:rsidR="00D85D5E" w:rsidRPr="00D85D5E" w:rsidRDefault="00D85D5E">
            <w:pPr>
              <w:pStyle w:val="Tablesmalltext"/>
              <w:spacing w:line="200" w:lineRule="atLeast"/>
              <w:rPr>
                <w:rFonts w:asciiTheme="majorHAnsi" w:hAnsiTheme="majorHAnsi" w:cstheme="majorHAnsi"/>
                <w:sz w:val="12"/>
                <w:szCs w:val="12"/>
              </w:rPr>
            </w:pPr>
            <w:r w:rsidRPr="00D85D5E">
              <w:rPr>
                <w:rFonts w:asciiTheme="majorHAnsi" w:hAnsiTheme="majorHAnsi" w:cstheme="majorHAnsi"/>
                <w:sz w:val="12"/>
                <w:szCs w:val="12"/>
              </w:rPr>
              <w:t xml:space="preserve">Sufficient to maintain depth over riffle habitats and pool depths (~40-100 cm deep).  The current low flow recommendation is 5 ML/d </w:t>
            </w:r>
            <w:r w:rsidRPr="00D85D5E">
              <w:rPr>
                <w:rFonts w:asciiTheme="majorHAnsi" w:hAnsiTheme="majorHAnsi" w:cstheme="majorHAnsi"/>
                <w:sz w:val="12"/>
                <w:szCs w:val="12"/>
              </w:rPr>
              <w:fldChar w:fldCharType="begin"/>
            </w:r>
            <w:r w:rsidRPr="00D85D5E">
              <w:rPr>
                <w:rFonts w:asciiTheme="majorHAnsi" w:hAnsiTheme="majorHAnsi" w:cstheme="majorHAnsi"/>
                <w:sz w:val="12"/>
                <w:szCs w:val="12"/>
              </w:rPr>
              <w:instrText xml:space="preserve"> ADDIN EN.CITE &lt;EndNote&gt;&lt;Cite&gt;&lt;Author&gt;Doeg&lt;/Author&gt;&lt;Year&gt;2012&lt;/Year&gt;&lt;RecNum&gt;3695&lt;/RecNum&gt;&lt;Prefix&gt;as specified in &lt;/Prefix&gt;&lt;DisplayText&gt;(as specified in Doeg, 2012)&lt;/DisplayText&gt;&lt;record&gt;&lt;rec-number&gt;3695&lt;/rec-number&gt;&lt;foreign-keys&gt;&lt;key app="EN" db-id="d0s2errflvze20evzxyvr9xzwfwste2v9tf2" timestamp="1575584584"&gt;3695&lt;/key&gt;&lt;/foreign-keys&gt;&lt;ref-type name="Report"&gt;27&lt;/ref-type&gt;&lt;contributors&gt;&lt;authors&gt;&lt;author&gt;Doeg, T.J.&lt;/author&gt;&lt;/authors&gt;&lt;tertiary-authors&gt;&lt;author&gt;Report prepared for Melbourne Water&lt;/author&gt;&lt;/tertiary-authors&gt;&lt;/contributors&gt;&lt;titles&gt;&lt;title&gt;Assessment of the passing flows regime from Cardinia Reservoir&lt;/title&gt;&lt;/titles&gt;&lt;dates&gt;&lt;year&gt;2012&lt;/year&gt;&lt;/dates&gt;&lt;urls&gt;&lt;/urls&gt;&lt;/record&gt;&lt;/Cite&gt;&lt;/EndNote&gt;</w:instrText>
            </w:r>
            <w:r w:rsidRPr="00D85D5E">
              <w:rPr>
                <w:rFonts w:asciiTheme="majorHAnsi" w:hAnsiTheme="majorHAnsi" w:cstheme="majorHAnsi"/>
                <w:sz w:val="12"/>
                <w:szCs w:val="12"/>
              </w:rPr>
              <w:fldChar w:fldCharType="separate"/>
            </w:r>
            <w:r w:rsidRPr="00D85D5E">
              <w:rPr>
                <w:rFonts w:asciiTheme="majorHAnsi" w:hAnsiTheme="majorHAnsi" w:cstheme="majorHAnsi"/>
                <w:noProof/>
                <w:sz w:val="12"/>
                <w:szCs w:val="12"/>
              </w:rPr>
              <w:t>(as specified in Doeg, 2012)</w:t>
            </w:r>
            <w:r w:rsidRPr="00D85D5E">
              <w:rPr>
                <w:rFonts w:asciiTheme="majorHAnsi" w:hAnsiTheme="majorHAnsi" w:cstheme="majorHAnsi"/>
                <w:sz w:val="12"/>
                <w:szCs w:val="12"/>
              </w:rPr>
              <w:fldChar w:fldCharType="end"/>
            </w:r>
            <w:r w:rsidRPr="00D85D5E">
              <w:rPr>
                <w:rFonts w:asciiTheme="majorHAnsi" w:hAnsiTheme="majorHAnsi" w:cstheme="majorHAnsi"/>
                <w:sz w:val="12"/>
                <w:szCs w:val="12"/>
              </w:rPr>
              <w:t xml:space="preserve"> </w:t>
            </w:r>
          </w:p>
        </w:tc>
        <w:tc>
          <w:tcPr>
            <w:tcW w:w="992"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67F6AD39" w14:textId="77777777" w:rsidR="00D85D5E" w:rsidRPr="00D85D5E" w:rsidRDefault="00D85D5E" w:rsidP="005A375E">
            <w:pPr>
              <w:pStyle w:val="Tablesmalltext"/>
              <w:spacing w:line="200" w:lineRule="atLeast"/>
              <w:rPr>
                <w:rFonts w:asciiTheme="majorHAnsi" w:hAnsiTheme="majorHAnsi" w:cstheme="majorHAnsi"/>
                <w:sz w:val="12"/>
                <w:szCs w:val="12"/>
              </w:rPr>
            </w:pPr>
            <w:r w:rsidRPr="00D85D5E">
              <w:rPr>
                <w:rFonts w:asciiTheme="majorHAnsi" w:hAnsiTheme="majorHAnsi" w:cstheme="majorHAnsi"/>
                <w:b/>
                <w:sz w:val="12"/>
                <w:szCs w:val="12"/>
              </w:rPr>
              <w:t>5 ML/d</w:t>
            </w:r>
            <w:r w:rsidRPr="00D85D5E">
              <w:rPr>
                <w:rFonts w:asciiTheme="majorHAnsi" w:hAnsiTheme="majorHAnsi" w:cstheme="majorHAnsi"/>
                <w:sz w:val="12"/>
                <w:szCs w:val="12"/>
              </w:rPr>
              <w:t xml:space="preserve"> for fishway operation</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34" w:type="dxa"/>
              <w:bottom w:w="0" w:type="dxa"/>
              <w:right w:w="34" w:type="dxa"/>
            </w:tcMar>
            <w:vAlign w:val="center"/>
            <w:hideMark/>
          </w:tcPr>
          <w:p w14:paraId="7D605D77" w14:textId="7777777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100% of time</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74EE9570" w14:textId="7777777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100% of time</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34" w:type="dxa"/>
              <w:bottom w:w="0" w:type="dxa"/>
              <w:right w:w="34" w:type="dxa"/>
            </w:tcMar>
            <w:vAlign w:val="center"/>
            <w:hideMark/>
          </w:tcPr>
          <w:p w14:paraId="7FE7E996" w14:textId="7777777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100% of time</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7EF92217" w14:textId="7777777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100% of time</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34" w:type="dxa"/>
              <w:bottom w:w="0" w:type="dxa"/>
              <w:right w:w="34" w:type="dxa"/>
            </w:tcMar>
            <w:vAlign w:val="center"/>
            <w:hideMark/>
          </w:tcPr>
          <w:p w14:paraId="369DBD46" w14:textId="77777777" w:rsidR="00D85D5E" w:rsidRPr="00D85D5E" w:rsidRDefault="00D85D5E" w:rsidP="00816DF1">
            <w:pPr>
              <w:pStyle w:val="Tablesmalltext"/>
              <w:spacing w:line="200" w:lineRule="atLeast"/>
              <w:jc w:val="center"/>
              <w:rPr>
                <w:rFonts w:asciiTheme="majorHAnsi" w:hAnsiTheme="majorHAnsi" w:cstheme="majorHAnsi"/>
                <w:b/>
                <w:sz w:val="12"/>
                <w:szCs w:val="12"/>
              </w:rPr>
            </w:pPr>
            <w:r w:rsidRPr="00D85D5E">
              <w:rPr>
                <w:rFonts w:asciiTheme="majorHAnsi" w:hAnsiTheme="majorHAnsi" w:cstheme="majorHAnsi"/>
                <w:sz w:val="12"/>
                <w:szCs w:val="12"/>
              </w:rPr>
              <w:t>100% of time</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5C72F614" w14:textId="7777777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100% of time</w:t>
            </w:r>
          </w:p>
        </w:tc>
      </w:tr>
      <w:tr w:rsidR="00D85D5E" w:rsidRPr="00D85D5E" w14:paraId="18E20435" w14:textId="77777777" w:rsidTr="005A375E">
        <w:tc>
          <w:tcPr>
            <w:tcW w:w="955" w:type="dxa"/>
            <w:vMerge/>
            <w:tcBorders>
              <w:top w:val="single" w:sz="4" w:space="0" w:color="auto"/>
              <w:left w:val="single" w:sz="4" w:space="0" w:color="auto"/>
              <w:bottom w:val="single" w:sz="4" w:space="0" w:color="auto"/>
              <w:right w:val="single" w:sz="4" w:space="0" w:color="auto"/>
            </w:tcBorders>
            <w:vAlign w:val="center"/>
            <w:hideMark/>
          </w:tcPr>
          <w:p w14:paraId="4A6572EB" w14:textId="77777777" w:rsidR="00D85D5E" w:rsidRPr="00D85D5E" w:rsidRDefault="00D85D5E">
            <w:pPr>
              <w:spacing w:after="0" w:line="240" w:lineRule="auto"/>
              <w:rPr>
                <w:rFonts w:asciiTheme="majorHAnsi" w:hAnsiTheme="majorHAnsi" w:cstheme="majorHAnsi"/>
                <w:b/>
                <w:sz w:val="12"/>
                <w:szCs w:val="12"/>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14:paraId="30F6895F" w14:textId="77777777" w:rsidR="00D85D5E" w:rsidRPr="00D85D5E" w:rsidRDefault="00D85D5E">
            <w:pPr>
              <w:spacing w:after="0" w:line="240" w:lineRule="auto"/>
              <w:rPr>
                <w:rFonts w:asciiTheme="majorHAnsi" w:hAnsiTheme="majorHAnsi" w:cstheme="majorHAnsi"/>
                <w:sz w:val="12"/>
                <w:szCs w:val="12"/>
              </w:rPr>
            </w:pPr>
          </w:p>
        </w:tc>
        <w:tc>
          <w:tcPr>
            <w:tcW w:w="1495" w:type="dxa"/>
            <w:vMerge/>
            <w:tcBorders>
              <w:top w:val="single" w:sz="4" w:space="0" w:color="auto"/>
              <w:left w:val="single" w:sz="4" w:space="0" w:color="auto"/>
              <w:bottom w:val="single" w:sz="4" w:space="0" w:color="auto"/>
              <w:right w:val="single" w:sz="4" w:space="0" w:color="auto"/>
            </w:tcBorders>
            <w:vAlign w:val="center"/>
            <w:hideMark/>
          </w:tcPr>
          <w:p w14:paraId="7D00DFD8" w14:textId="77777777" w:rsidR="00D85D5E" w:rsidRPr="00D85D5E" w:rsidRDefault="00D85D5E">
            <w:pPr>
              <w:spacing w:after="0" w:line="240" w:lineRule="auto"/>
              <w:rPr>
                <w:rFonts w:asciiTheme="majorHAnsi" w:hAnsiTheme="majorHAnsi" w:cstheme="majorHAnsi"/>
                <w:sz w:val="12"/>
                <w:szCs w:val="12"/>
              </w:rPr>
            </w:pPr>
          </w:p>
        </w:tc>
        <w:tc>
          <w:tcPr>
            <w:tcW w:w="992"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2598559C" w14:textId="77777777" w:rsidR="00D85D5E" w:rsidRPr="00D85D5E" w:rsidRDefault="00D85D5E" w:rsidP="005A375E">
            <w:pPr>
              <w:pStyle w:val="Tablesmalltext"/>
              <w:spacing w:line="200" w:lineRule="atLeast"/>
              <w:rPr>
                <w:rFonts w:asciiTheme="majorHAnsi" w:hAnsiTheme="majorHAnsi" w:cstheme="majorHAnsi"/>
                <w:b/>
                <w:sz w:val="12"/>
                <w:szCs w:val="12"/>
              </w:rPr>
            </w:pPr>
            <w:r w:rsidRPr="00D85D5E">
              <w:rPr>
                <w:rFonts w:asciiTheme="majorHAnsi" w:hAnsiTheme="majorHAnsi" w:cstheme="majorHAnsi"/>
                <w:b/>
                <w:sz w:val="12"/>
                <w:szCs w:val="12"/>
              </w:rPr>
              <w:t>10 ML/d</w:t>
            </w:r>
            <w:r w:rsidRPr="00D85D5E">
              <w:rPr>
                <w:rFonts w:asciiTheme="majorHAnsi" w:hAnsiTheme="majorHAnsi" w:cstheme="majorHAnsi"/>
                <w:sz w:val="12"/>
                <w:szCs w:val="12"/>
              </w:rPr>
              <w:t xml:space="preserve"> (10-20 cm over ~90% of cross sections</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34" w:type="dxa"/>
              <w:bottom w:w="0" w:type="dxa"/>
              <w:right w:w="34" w:type="dxa"/>
            </w:tcMar>
            <w:vAlign w:val="center"/>
            <w:hideMark/>
          </w:tcPr>
          <w:p w14:paraId="60190A20" w14:textId="7777777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60% of time</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3BA66044" w14:textId="7777777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66% of time</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34" w:type="dxa"/>
              <w:bottom w:w="0" w:type="dxa"/>
              <w:right w:w="34" w:type="dxa"/>
            </w:tcMar>
            <w:vAlign w:val="center"/>
            <w:hideMark/>
          </w:tcPr>
          <w:p w14:paraId="78C7E718" w14:textId="7777777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65% of time</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27F96E1E" w14:textId="7777777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70% of time</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34" w:type="dxa"/>
              <w:bottom w:w="0" w:type="dxa"/>
              <w:right w:w="34" w:type="dxa"/>
            </w:tcMar>
            <w:vAlign w:val="center"/>
            <w:hideMark/>
          </w:tcPr>
          <w:p w14:paraId="27024C0B" w14:textId="7777777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85% of time</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1E2BFEFD" w14:textId="77777777" w:rsidR="00D85D5E" w:rsidRPr="00D85D5E" w:rsidRDefault="00D85D5E" w:rsidP="00816DF1">
            <w:pPr>
              <w:pStyle w:val="Tablesmalltext"/>
              <w:spacing w:line="200" w:lineRule="atLeast"/>
              <w:jc w:val="center"/>
              <w:rPr>
                <w:rFonts w:asciiTheme="majorHAnsi" w:hAnsiTheme="majorHAnsi" w:cstheme="majorHAnsi"/>
                <w:sz w:val="12"/>
                <w:szCs w:val="12"/>
              </w:rPr>
            </w:pPr>
            <w:r w:rsidRPr="005A375E">
              <w:rPr>
                <w:rFonts w:asciiTheme="majorHAnsi" w:hAnsiTheme="majorHAnsi" w:cstheme="majorHAnsi"/>
                <w:sz w:val="12"/>
                <w:szCs w:val="12"/>
              </w:rPr>
              <w:t>85</w:t>
            </w:r>
            <w:r w:rsidRPr="00D85D5E">
              <w:rPr>
                <w:rFonts w:asciiTheme="majorHAnsi" w:hAnsiTheme="majorHAnsi" w:cstheme="majorHAnsi"/>
                <w:sz w:val="12"/>
                <w:szCs w:val="12"/>
              </w:rPr>
              <w:t>% of time</w:t>
            </w:r>
          </w:p>
        </w:tc>
      </w:tr>
      <w:tr w:rsidR="00D85D5E" w:rsidRPr="00D85D5E" w14:paraId="260D06BB" w14:textId="77777777" w:rsidTr="005A375E">
        <w:tc>
          <w:tcPr>
            <w:tcW w:w="955" w:type="dxa"/>
            <w:vMerge w:val="restart"/>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hideMark/>
          </w:tcPr>
          <w:p w14:paraId="31C825FE" w14:textId="379A94F2" w:rsidR="00D85D5E" w:rsidRPr="00D85D5E" w:rsidRDefault="00D85D5E">
            <w:pPr>
              <w:pStyle w:val="Tablesmallheading"/>
              <w:spacing w:line="200" w:lineRule="atLeast"/>
              <w:rPr>
                <w:rFonts w:asciiTheme="majorHAnsi" w:hAnsiTheme="majorHAnsi" w:cstheme="majorHAnsi"/>
                <w:sz w:val="12"/>
                <w:szCs w:val="12"/>
              </w:rPr>
            </w:pPr>
            <w:r w:rsidRPr="00D85D5E">
              <w:rPr>
                <w:rFonts w:asciiTheme="majorHAnsi" w:hAnsiTheme="majorHAnsi" w:cstheme="majorHAnsi"/>
                <w:sz w:val="12"/>
                <w:szCs w:val="12"/>
              </w:rPr>
              <w:t>Autumn spawning freshes (April-June)</w:t>
            </w:r>
          </w:p>
        </w:tc>
        <w:tc>
          <w:tcPr>
            <w:tcW w:w="1089" w:type="dxa"/>
            <w:vMerge w:val="restart"/>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hideMark/>
          </w:tcPr>
          <w:p w14:paraId="666658B6" w14:textId="77777777" w:rsidR="00D85D5E" w:rsidRPr="00D85D5E" w:rsidRDefault="00D85D5E">
            <w:pPr>
              <w:pStyle w:val="Tablesmalltext"/>
              <w:spacing w:line="200" w:lineRule="atLeast"/>
              <w:rPr>
                <w:rFonts w:asciiTheme="majorHAnsi" w:hAnsiTheme="majorHAnsi" w:cstheme="majorHAnsi"/>
                <w:sz w:val="12"/>
                <w:szCs w:val="12"/>
              </w:rPr>
            </w:pPr>
            <w:r w:rsidRPr="00D85D5E">
              <w:rPr>
                <w:rFonts w:asciiTheme="majorHAnsi" w:hAnsiTheme="majorHAnsi" w:cstheme="majorHAnsi"/>
                <w:sz w:val="12"/>
                <w:szCs w:val="12"/>
              </w:rPr>
              <w:t>Autumn fresh of sufficient magnitude and duration to enable spawning life cycle event to be completed. Typically 10-15 days or longer is required based on research from other rivers.</w:t>
            </w:r>
          </w:p>
        </w:tc>
        <w:tc>
          <w:tcPr>
            <w:tcW w:w="1495" w:type="dxa"/>
            <w:vMerge w:val="restart"/>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tcPr>
          <w:p w14:paraId="7F663D58" w14:textId="77777777" w:rsidR="00D85D5E" w:rsidRPr="00D85D5E" w:rsidRDefault="00D85D5E">
            <w:pPr>
              <w:pStyle w:val="Tablesmalltext"/>
              <w:spacing w:line="200" w:lineRule="atLeast"/>
              <w:rPr>
                <w:rFonts w:asciiTheme="majorHAnsi" w:hAnsiTheme="majorHAnsi" w:cstheme="majorHAnsi"/>
                <w:sz w:val="12"/>
                <w:szCs w:val="12"/>
              </w:rPr>
            </w:pPr>
            <w:r w:rsidRPr="00D85D5E">
              <w:rPr>
                <w:rFonts w:asciiTheme="majorHAnsi" w:hAnsiTheme="majorHAnsi" w:cstheme="majorHAnsi"/>
                <w:sz w:val="12"/>
                <w:szCs w:val="12"/>
              </w:rPr>
              <w:t>A range of event magnitudes have been selected and the duration and number of events per season are compared between current and developed conditions</w:t>
            </w:r>
          </w:p>
          <w:p w14:paraId="104C4325" w14:textId="77777777" w:rsidR="00D85D5E" w:rsidRPr="00D85D5E" w:rsidRDefault="00D85D5E">
            <w:pPr>
              <w:pStyle w:val="Tablesmalltext"/>
              <w:spacing w:line="200" w:lineRule="atLeast"/>
              <w:rPr>
                <w:rFonts w:asciiTheme="majorHAnsi" w:hAnsiTheme="majorHAnsi" w:cstheme="majorHAnsi"/>
                <w:sz w:val="12"/>
                <w:szCs w:val="12"/>
              </w:rPr>
            </w:pPr>
          </w:p>
        </w:tc>
        <w:tc>
          <w:tcPr>
            <w:tcW w:w="992"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58B8A4C0" w14:textId="77777777" w:rsidR="00D85D5E" w:rsidRPr="00D85D5E" w:rsidRDefault="00D85D5E" w:rsidP="005A375E">
            <w:pPr>
              <w:pStyle w:val="Tablesmalltext"/>
              <w:spacing w:line="200" w:lineRule="atLeast"/>
              <w:rPr>
                <w:rFonts w:asciiTheme="majorHAnsi" w:hAnsiTheme="majorHAnsi" w:cstheme="majorHAnsi"/>
                <w:b/>
                <w:sz w:val="12"/>
                <w:szCs w:val="12"/>
              </w:rPr>
            </w:pPr>
            <w:r w:rsidRPr="00D85D5E">
              <w:rPr>
                <w:rFonts w:asciiTheme="majorHAnsi" w:hAnsiTheme="majorHAnsi" w:cstheme="majorHAnsi"/>
                <w:b/>
                <w:sz w:val="12"/>
                <w:szCs w:val="12"/>
              </w:rPr>
              <w:t>75 ML/d</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3E955070" w14:textId="7777777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4.8 days 1.1 time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013BA7BE" w14:textId="16E34CA2"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4.9 days 1.6 per season</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689EC956" w14:textId="3163B2F0"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5.2 days 1.25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2E9ED39E" w14:textId="7BE95212"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7.8 days 2.1 per season</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1E291E81" w14:textId="3167F45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13.4 days 2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2A8406FE" w14:textId="1B9CC969"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14.5 days 2.6 per season</w:t>
            </w:r>
          </w:p>
        </w:tc>
      </w:tr>
      <w:tr w:rsidR="00D85D5E" w:rsidRPr="00D85D5E" w14:paraId="5005F4EF" w14:textId="77777777" w:rsidTr="005A375E">
        <w:tc>
          <w:tcPr>
            <w:tcW w:w="955" w:type="dxa"/>
            <w:vMerge/>
            <w:tcBorders>
              <w:top w:val="single" w:sz="4" w:space="0" w:color="auto"/>
              <w:left w:val="single" w:sz="4" w:space="0" w:color="auto"/>
              <w:bottom w:val="single" w:sz="4" w:space="0" w:color="auto"/>
              <w:right w:val="single" w:sz="4" w:space="0" w:color="auto"/>
            </w:tcBorders>
            <w:vAlign w:val="center"/>
            <w:hideMark/>
          </w:tcPr>
          <w:p w14:paraId="5CC80036" w14:textId="77777777" w:rsidR="00D85D5E" w:rsidRPr="00D85D5E" w:rsidRDefault="00D85D5E">
            <w:pPr>
              <w:spacing w:after="0" w:line="240" w:lineRule="auto"/>
              <w:rPr>
                <w:rFonts w:asciiTheme="majorHAnsi" w:hAnsiTheme="majorHAnsi" w:cstheme="majorHAnsi"/>
                <w:b/>
                <w:sz w:val="12"/>
                <w:szCs w:val="12"/>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14:paraId="7FBCEE02" w14:textId="77777777" w:rsidR="00D85D5E" w:rsidRPr="00D85D5E" w:rsidRDefault="00D85D5E">
            <w:pPr>
              <w:spacing w:after="0" w:line="240" w:lineRule="auto"/>
              <w:rPr>
                <w:rFonts w:asciiTheme="majorHAnsi" w:hAnsiTheme="majorHAnsi" w:cstheme="majorHAnsi"/>
                <w:sz w:val="12"/>
                <w:szCs w:val="12"/>
              </w:rPr>
            </w:pPr>
          </w:p>
        </w:tc>
        <w:tc>
          <w:tcPr>
            <w:tcW w:w="1495" w:type="dxa"/>
            <w:vMerge/>
            <w:tcBorders>
              <w:top w:val="single" w:sz="4" w:space="0" w:color="auto"/>
              <w:left w:val="single" w:sz="4" w:space="0" w:color="auto"/>
              <w:bottom w:val="single" w:sz="4" w:space="0" w:color="auto"/>
              <w:right w:val="single" w:sz="4" w:space="0" w:color="auto"/>
            </w:tcBorders>
            <w:vAlign w:val="center"/>
            <w:hideMark/>
          </w:tcPr>
          <w:p w14:paraId="0E03AD21" w14:textId="77777777" w:rsidR="00D85D5E" w:rsidRPr="00D85D5E" w:rsidRDefault="00D85D5E">
            <w:pPr>
              <w:spacing w:after="0" w:line="240" w:lineRule="auto"/>
              <w:rPr>
                <w:rFonts w:asciiTheme="majorHAnsi" w:hAnsiTheme="majorHAnsi" w:cstheme="majorHAnsi"/>
                <w:sz w:val="12"/>
                <w:szCs w:val="12"/>
              </w:rPr>
            </w:pPr>
          </w:p>
        </w:tc>
        <w:tc>
          <w:tcPr>
            <w:tcW w:w="992"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3E157BC4" w14:textId="77777777" w:rsidR="00D85D5E" w:rsidRPr="00D85D5E" w:rsidRDefault="00D85D5E" w:rsidP="005A375E">
            <w:pPr>
              <w:pStyle w:val="Tablesmalltext"/>
              <w:spacing w:line="200" w:lineRule="atLeast"/>
              <w:rPr>
                <w:rFonts w:asciiTheme="majorHAnsi" w:hAnsiTheme="majorHAnsi" w:cstheme="majorHAnsi"/>
                <w:sz w:val="12"/>
                <w:szCs w:val="12"/>
              </w:rPr>
            </w:pPr>
            <w:r w:rsidRPr="00D85D5E">
              <w:rPr>
                <w:rFonts w:asciiTheme="majorHAnsi" w:hAnsiTheme="majorHAnsi" w:cstheme="majorHAnsi"/>
                <w:b/>
                <w:sz w:val="12"/>
                <w:szCs w:val="12"/>
              </w:rPr>
              <w:t xml:space="preserve">40 ML/d </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5939F18F" w14:textId="4F55D31F"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8.2 days 1.4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1EF4CF3F" w14:textId="0A3D58D2"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11.9 days 2.1 per season</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30BF64A0" w14:textId="49ADC372"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11 days 2.7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39842591" w14:textId="3347B12B"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21.4 days 2.1 per season</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1DA2048B" w14:textId="168C21D9"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21.8 days 2.2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6B950C4E" w14:textId="09B34608"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28.83 days 2.3 per season</w:t>
            </w:r>
          </w:p>
        </w:tc>
      </w:tr>
      <w:tr w:rsidR="00D85D5E" w:rsidRPr="00D85D5E" w14:paraId="4FC74582" w14:textId="77777777" w:rsidTr="005A375E">
        <w:trPr>
          <w:trHeight w:val="694"/>
        </w:trPr>
        <w:tc>
          <w:tcPr>
            <w:tcW w:w="955" w:type="dxa"/>
            <w:vMerge/>
            <w:tcBorders>
              <w:top w:val="single" w:sz="4" w:space="0" w:color="auto"/>
              <w:left w:val="single" w:sz="4" w:space="0" w:color="auto"/>
              <w:bottom w:val="single" w:sz="4" w:space="0" w:color="auto"/>
              <w:right w:val="single" w:sz="4" w:space="0" w:color="auto"/>
            </w:tcBorders>
            <w:vAlign w:val="center"/>
            <w:hideMark/>
          </w:tcPr>
          <w:p w14:paraId="0F92648C" w14:textId="77777777" w:rsidR="00D85D5E" w:rsidRPr="00D85D5E" w:rsidRDefault="00D85D5E">
            <w:pPr>
              <w:spacing w:after="0" w:line="240" w:lineRule="auto"/>
              <w:rPr>
                <w:rFonts w:asciiTheme="majorHAnsi" w:hAnsiTheme="majorHAnsi" w:cstheme="majorHAnsi"/>
                <w:b/>
                <w:sz w:val="12"/>
                <w:szCs w:val="12"/>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14:paraId="7E27FBAA" w14:textId="77777777" w:rsidR="00D85D5E" w:rsidRPr="00D85D5E" w:rsidRDefault="00D85D5E">
            <w:pPr>
              <w:spacing w:after="0" w:line="240" w:lineRule="auto"/>
              <w:rPr>
                <w:rFonts w:asciiTheme="majorHAnsi" w:hAnsiTheme="majorHAnsi" w:cstheme="majorHAnsi"/>
                <w:sz w:val="12"/>
                <w:szCs w:val="12"/>
              </w:rPr>
            </w:pPr>
          </w:p>
        </w:tc>
        <w:tc>
          <w:tcPr>
            <w:tcW w:w="1495" w:type="dxa"/>
            <w:vMerge/>
            <w:tcBorders>
              <w:top w:val="single" w:sz="4" w:space="0" w:color="auto"/>
              <w:left w:val="single" w:sz="4" w:space="0" w:color="auto"/>
              <w:bottom w:val="single" w:sz="4" w:space="0" w:color="auto"/>
              <w:right w:val="single" w:sz="4" w:space="0" w:color="auto"/>
            </w:tcBorders>
            <w:vAlign w:val="center"/>
            <w:hideMark/>
          </w:tcPr>
          <w:p w14:paraId="5EEE9A6C" w14:textId="77777777" w:rsidR="00D85D5E" w:rsidRPr="00D85D5E" w:rsidRDefault="00D85D5E">
            <w:pPr>
              <w:spacing w:after="0" w:line="240" w:lineRule="auto"/>
              <w:rPr>
                <w:rFonts w:asciiTheme="majorHAnsi" w:hAnsiTheme="majorHAnsi" w:cstheme="majorHAnsi"/>
                <w:sz w:val="12"/>
                <w:szCs w:val="12"/>
              </w:rPr>
            </w:pPr>
          </w:p>
        </w:tc>
        <w:tc>
          <w:tcPr>
            <w:tcW w:w="992"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02A71035" w14:textId="77777777" w:rsidR="00D85D5E" w:rsidRPr="00D85D5E" w:rsidRDefault="00D85D5E" w:rsidP="005A375E">
            <w:pPr>
              <w:pStyle w:val="Tablesmalltext"/>
              <w:spacing w:line="200" w:lineRule="atLeast"/>
              <w:rPr>
                <w:rFonts w:asciiTheme="majorHAnsi" w:hAnsiTheme="majorHAnsi" w:cstheme="majorHAnsi"/>
                <w:b/>
                <w:sz w:val="12"/>
                <w:szCs w:val="12"/>
              </w:rPr>
            </w:pPr>
            <w:r w:rsidRPr="00D85D5E">
              <w:rPr>
                <w:rFonts w:asciiTheme="majorHAnsi" w:hAnsiTheme="majorHAnsi" w:cstheme="majorHAnsi"/>
                <w:b/>
                <w:sz w:val="12"/>
                <w:szCs w:val="12"/>
              </w:rPr>
              <w:t xml:space="preserve">30 ML/d </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5E25751A" w14:textId="13DA49E0"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15 days 1.5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5E0A5AF6" w14:textId="13687931"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21.5 days 1.7 per season</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4E506B27" w14:textId="67EB2988"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20.3 days 1.6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7E2BA48F" w14:textId="19D3430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30 days 1.8 per season</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6B5509A4" w14:textId="696EA3DF"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32.6 days 1.8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385FD6FC" w14:textId="713D75EB"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49.9 days 1.6 per season</w:t>
            </w:r>
          </w:p>
        </w:tc>
      </w:tr>
      <w:tr w:rsidR="00D85D5E" w:rsidRPr="00D85D5E" w14:paraId="6D797104" w14:textId="77777777" w:rsidTr="005A375E">
        <w:tc>
          <w:tcPr>
            <w:tcW w:w="955" w:type="dxa"/>
            <w:vMerge/>
            <w:tcBorders>
              <w:top w:val="single" w:sz="4" w:space="0" w:color="auto"/>
              <w:left w:val="single" w:sz="4" w:space="0" w:color="auto"/>
              <w:bottom w:val="single" w:sz="4" w:space="0" w:color="auto"/>
              <w:right w:val="single" w:sz="4" w:space="0" w:color="auto"/>
            </w:tcBorders>
            <w:vAlign w:val="center"/>
            <w:hideMark/>
          </w:tcPr>
          <w:p w14:paraId="2AC25C67" w14:textId="77777777" w:rsidR="00D85D5E" w:rsidRPr="00D85D5E" w:rsidRDefault="00D85D5E">
            <w:pPr>
              <w:spacing w:after="0" w:line="240" w:lineRule="auto"/>
              <w:rPr>
                <w:rFonts w:asciiTheme="majorHAnsi" w:hAnsiTheme="majorHAnsi" w:cstheme="majorHAnsi"/>
                <w:b/>
                <w:sz w:val="12"/>
                <w:szCs w:val="12"/>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14:paraId="7D5F9C87" w14:textId="77777777" w:rsidR="00D85D5E" w:rsidRPr="00D85D5E" w:rsidRDefault="00D85D5E">
            <w:pPr>
              <w:spacing w:after="0" w:line="240" w:lineRule="auto"/>
              <w:rPr>
                <w:rFonts w:asciiTheme="majorHAnsi" w:hAnsiTheme="majorHAnsi" w:cstheme="majorHAnsi"/>
                <w:sz w:val="12"/>
                <w:szCs w:val="12"/>
              </w:rPr>
            </w:pPr>
          </w:p>
        </w:tc>
        <w:tc>
          <w:tcPr>
            <w:tcW w:w="1495" w:type="dxa"/>
            <w:vMerge/>
            <w:tcBorders>
              <w:top w:val="single" w:sz="4" w:space="0" w:color="auto"/>
              <w:left w:val="single" w:sz="4" w:space="0" w:color="auto"/>
              <w:bottom w:val="single" w:sz="4" w:space="0" w:color="auto"/>
              <w:right w:val="single" w:sz="4" w:space="0" w:color="auto"/>
            </w:tcBorders>
            <w:vAlign w:val="center"/>
            <w:hideMark/>
          </w:tcPr>
          <w:p w14:paraId="5804E153" w14:textId="77777777" w:rsidR="00D85D5E" w:rsidRPr="00D85D5E" w:rsidRDefault="00D85D5E">
            <w:pPr>
              <w:spacing w:after="0" w:line="240" w:lineRule="auto"/>
              <w:rPr>
                <w:rFonts w:asciiTheme="majorHAnsi" w:hAnsiTheme="majorHAnsi" w:cstheme="majorHAnsi"/>
                <w:sz w:val="12"/>
                <w:szCs w:val="12"/>
              </w:rPr>
            </w:pPr>
          </w:p>
        </w:tc>
        <w:tc>
          <w:tcPr>
            <w:tcW w:w="992"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4E4517C6" w14:textId="77777777" w:rsidR="00D85D5E" w:rsidRPr="00D85D5E" w:rsidRDefault="00D85D5E" w:rsidP="005A375E">
            <w:pPr>
              <w:pStyle w:val="Tablesmalltext"/>
              <w:spacing w:line="200" w:lineRule="atLeast"/>
              <w:rPr>
                <w:rFonts w:asciiTheme="majorHAnsi" w:hAnsiTheme="majorHAnsi" w:cstheme="majorHAnsi"/>
                <w:b/>
                <w:sz w:val="12"/>
                <w:szCs w:val="12"/>
              </w:rPr>
            </w:pPr>
            <w:r w:rsidRPr="00D85D5E">
              <w:rPr>
                <w:rFonts w:asciiTheme="majorHAnsi" w:hAnsiTheme="majorHAnsi" w:cstheme="majorHAnsi"/>
                <w:b/>
                <w:sz w:val="12"/>
                <w:szCs w:val="12"/>
              </w:rPr>
              <w:t xml:space="preserve">25 ML/d </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4BADF2FA" w14:textId="44CDCFFD"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21.7 days 1.2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6B4F37CF" w14:textId="50BB4A5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27 days 1.4 per season</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591CFBFB" w14:textId="6B3BD77A"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25.3 days 1.2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47FBA8B8" w14:textId="688DCDFC"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36.3 days 1.6 per season</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1C848133" w14:textId="43BFCFBA"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51.5 days 1.3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225D39A7" w14:textId="7E983DE0"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54.5 days 1.5 per season</w:t>
            </w:r>
          </w:p>
        </w:tc>
      </w:tr>
      <w:tr w:rsidR="00D85D5E" w:rsidRPr="00D85D5E" w14:paraId="4C336C41" w14:textId="77777777" w:rsidTr="005A375E">
        <w:tc>
          <w:tcPr>
            <w:tcW w:w="95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hideMark/>
          </w:tcPr>
          <w:p w14:paraId="66F18CE1" w14:textId="77777777" w:rsidR="00D85D5E" w:rsidRPr="00D85D5E" w:rsidRDefault="00D85D5E">
            <w:pPr>
              <w:pStyle w:val="Tablesmallheading"/>
              <w:spacing w:line="200" w:lineRule="atLeast"/>
              <w:rPr>
                <w:rFonts w:asciiTheme="majorHAnsi" w:hAnsiTheme="majorHAnsi" w:cstheme="majorHAnsi"/>
                <w:sz w:val="12"/>
                <w:szCs w:val="12"/>
              </w:rPr>
            </w:pPr>
            <w:r w:rsidRPr="00D85D5E">
              <w:rPr>
                <w:rFonts w:asciiTheme="majorHAnsi" w:hAnsiTheme="majorHAnsi" w:cstheme="majorHAnsi"/>
                <w:sz w:val="12"/>
                <w:szCs w:val="12"/>
              </w:rPr>
              <w:t>Winter low flows (June-November)</w:t>
            </w:r>
          </w:p>
        </w:tc>
        <w:tc>
          <w:tcPr>
            <w:tcW w:w="1089"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hideMark/>
          </w:tcPr>
          <w:p w14:paraId="5BB67944" w14:textId="77777777" w:rsidR="00D85D5E" w:rsidRPr="00D85D5E" w:rsidRDefault="00D85D5E">
            <w:pPr>
              <w:pStyle w:val="Tablesmalltext"/>
              <w:spacing w:line="200" w:lineRule="atLeast"/>
              <w:rPr>
                <w:rFonts w:asciiTheme="majorHAnsi" w:hAnsiTheme="majorHAnsi" w:cstheme="majorHAnsi"/>
                <w:sz w:val="12"/>
                <w:szCs w:val="12"/>
              </w:rPr>
            </w:pPr>
            <w:r w:rsidRPr="00D85D5E">
              <w:rPr>
                <w:rFonts w:asciiTheme="majorHAnsi" w:hAnsiTheme="majorHAnsi" w:cstheme="majorHAnsi"/>
                <w:sz w:val="12"/>
                <w:szCs w:val="12"/>
              </w:rPr>
              <w:t>Magnitude (% of time above specific magnitudes)</w:t>
            </w:r>
          </w:p>
        </w:tc>
        <w:tc>
          <w:tcPr>
            <w:tcW w:w="149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hideMark/>
          </w:tcPr>
          <w:p w14:paraId="02570444" w14:textId="77777777" w:rsidR="00D85D5E" w:rsidRPr="00D85D5E" w:rsidRDefault="00D85D5E">
            <w:pPr>
              <w:pStyle w:val="Tablesmalltext"/>
              <w:spacing w:line="200" w:lineRule="atLeast"/>
              <w:rPr>
                <w:rFonts w:asciiTheme="majorHAnsi" w:hAnsiTheme="majorHAnsi" w:cstheme="majorHAnsi"/>
                <w:sz w:val="12"/>
                <w:szCs w:val="12"/>
              </w:rPr>
            </w:pPr>
            <w:r w:rsidRPr="00D85D5E">
              <w:rPr>
                <w:rFonts w:asciiTheme="majorHAnsi" w:hAnsiTheme="majorHAnsi" w:cstheme="majorHAnsi"/>
                <w:sz w:val="12"/>
                <w:szCs w:val="12"/>
              </w:rPr>
              <w:t>Sufficient to maintain depth over riffle habitats and pool depths. (40 cm over 80% of cross sections in reach 1, 50% of cross sections in reach 2</w:t>
            </w:r>
          </w:p>
        </w:tc>
        <w:tc>
          <w:tcPr>
            <w:tcW w:w="992"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5F4B6105" w14:textId="77777777" w:rsidR="00D85D5E" w:rsidRPr="00D85D5E" w:rsidRDefault="00D85D5E" w:rsidP="005A375E">
            <w:pPr>
              <w:pStyle w:val="Tablesmalltext"/>
              <w:spacing w:line="200" w:lineRule="atLeast"/>
              <w:rPr>
                <w:rFonts w:asciiTheme="majorHAnsi" w:hAnsiTheme="majorHAnsi" w:cstheme="majorHAnsi"/>
                <w:sz w:val="12"/>
                <w:szCs w:val="12"/>
              </w:rPr>
            </w:pPr>
            <w:r w:rsidRPr="00D85D5E">
              <w:rPr>
                <w:rFonts w:asciiTheme="majorHAnsi" w:hAnsiTheme="majorHAnsi" w:cstheme="majorHAnsi"/>
                <w:b/>
                <w:sz w:val="12"/>
                <w:szCs w:val="12"/>
              </w:rPr>
              <w:t>30 ML/d</w:t>
            </w:r>
            <w:r w:rsidRPr="00D85D5E">
              <w:rPr>
                <w:rFonts w:asciiTheme="majorHAnsi" w:hAnsiTheme="majorHAnsi" w:cstheme="majorHAnsi"/>
                <w:sz w:val="12"/>
                <w:szCs w:val="12"/>
              </w:rPr>
              <w:t xml:space="preserve"> </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69D5DF1F" w14:textId="7777777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22% of time</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4CDDA517" w14:textId="7777777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31% of time</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6E1354B8" w14:textId="7777777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28% of time</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76A61039" w14:textId="7777777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43% of time</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5BC964CC" w14:textId="77777777" w:rsidR="00D85D5E" w:rsidRPr="00D85D5E" w:rsidRDefault="00D85D5E" w:rsidP="00816DF1">
            <w:pPr>
              <w:pStyle w:val="Tablesmalltext"/>
              <w:spacing w:line="200" w:lineRule="atLeast"/>
              <w:jc w:val="center"/>
              <w:rPr>
                <w:rFonts w:asciiTheme="majorHAnsi" w:hAnsiTheme="majorHAnsi" w:cstheme="majorHAnsi"/>
                <w:b/>
                <w:sz w:val="12"/>
                <w:szCs w:val="12"/>
              </w:rPr>
            </w:pPr>
            <w:r w:rsidRPr="00D85D5E">
              <w:rPr>
                <w:rFonts w:asciiTheme="majorHAnsi" w:hAnsiTheme="majorHAnsi" w:cstheme="majorHAnsi"/>
                <w:sz w:val="12"/>
                <w:szCs w:val="12"/>
              </w:rPr>
              <w:t>52% of time</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582CDD52" w14:textId="7777777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59% of time</w:t>
            </w:r>
          </w:p>
        </w:tc>
      </w:tr>
      <w:tr w:rsidR="00D85D5E" w:rsidRPr="00D85D5E" w14:paraId="3B8E8D72" w14:textId="77777777" w:rsidTr="005A375E">
        <w:tc>
          <w:tcPr>
            <w:tcW w:w="955" w:type="dxa"/>
            <w:vMerge w:val="restart"/>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hideMark/>
          </w:tcPr>
          <w:p w14:paraId="6BCCCECE" w14:textId="77777777" w:rsidR="00D85D5E" w:rsidRPr="00D85D5E" w:rsidRDefault="00D85D5E">
            <w:pPr>
              <w:pStyle w:val="Tablesmallheading"/>
              <w:spacing w:line="200" w:lineRule="atLeast"/>
              <w:rPr>
                <w:rFonts w:asciiTheme="majorHAnsi" w:hAnsiTheme="majorHAnsi" w:cstheme="majorHAnsi"/>
                <w:sz w:val="12"/>
                <w:szCs w:val="12"/>
              </w:rPr>
            </w:pPr>
            <w:r w:rsidRPr="00D85D5E">
              <w:rPr>
                <w:rFonts w:asciiTheme="majorHAnsi" w:hAnsiTheme="majorHAnsi" w:cstheme="majorHAnsi"/>
                <w:sz w:val="12"/>
                <w:szCs w:val="12"/>
              </w:rPr>
              <w:t>Winter / spring High flows (Sep-Dec)</w:t>
            </w:r>
          </w:p>
        </w:tc>
        <w:tc>
          <w:tcPr>
            <w:tcW w:w="1089" w:type="dxa"/>
            <w:vMerge w:val="restart"/>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hideMark/>
          </w:tcPr>
          <w:p w14:paraId="2B26A2D5" w14:textId="77777777" w:rsidR="00D85D5E" w:rsidRPr="00D85D5E" w:rsidRDefault="00D85D5E">
            <w:pPr>
              <w:pStyle w:val="Tablesmalltext"/>
              <w:spacing w:line="200" w:lineRule="atLeast"/>
              <w:rPr>
                <w:rFonts w:asciiTheme="majorHAnsi" w:hAnsiTheme="majorHAnsi" w:cstheme="majorHAnsi"/>
                <w:sz w:val="12"/>
                <w:szCs w:val="12"/>
              </w:rPr>
            </w:pPr>
            <w:r w:rsidRPr="00D85D5E">
              <w:rPr>
                <w:rFonts w:asciiTheme="majorHAnsi" w:hAnsiTheme="majorHAnsi" w:cstheme="majorHAnsi"/>
                <w:sz w:val="12"/>
                <w:szCs w:val="12"/>
              </w:rPr>
              <w:t>High flows September-December to facilitate juvenile migration from marine environment</w:t>
            </w:r>
          </w:p>
        </w:tc>
        <w:tc>
          <w:tcPr>
            <w:tcW w:w="1495" w:type="dxa"/>
            <w:vMerge w:val="restart"/>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tcPr>
          <w:p w14:paraId="6280904B" w14:textId="4819495E" w:rsidR="00D85D5E" w:rsidRPr="00D85D5E" w:rsidRDefault="00D85D5E" w:rsidP="005A375E">
            <w:pPr>
              <w:pStyle w:val="Tablesmalltext"/>
              <w:spacing w:line="200" w:lineRule="atLeast"/>
              <w:rPr>
                <w:rFonts w:asciiTheme="majorHAnsi" w:hAnsiTheme="majorHAnsi" w:cstheme="majorHAnsi"/>
                <w:sz w:val="12"/>
                <w:szCs w:val="12"/>
              </w:rPr>
            </w:pPr>
            <w:r w:rsidRPr="00D85D5E">
              <w:rPr>
                <w:rFonts w:asciiTheme="majorHAnsi" w:hAnsiTheme="majorHAnsi" w:cstheme="majorHAnsi"/>
                <w:sz w:val="12"/>
                <w:szCs w:val="12"/>
              </w:rPr>
              <w:t>A range of event magnitudes have been selected and the duration and number of events per season are compared between current and developed conditions</w:t>
            </w:r>
          </w:p>
        </w:tc>
        <w:tc>
          <w:tcPr>
            <w:tcW w:w="992"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792C7385" w14:textId="77777777" w:rsidR="00D85D5E" w:rsidRPr="00D85D5E" w:rsidRDefault="00D85D5E" w:rsidP="005A375E">
            <w:pPr>
              <w:pStyle w:val="Tablesmalltext"/>
              <w:spacing w:line="200" w:lineRule="atLeast"/>
              <w:rPr>
                <w:rFonts w:asciiTheme="majorHAnsi" w:hAnsiTheme="majorHAnsi" w:cstheme="majorHAnsi"/>
                <w:b/>
                <w:sz w:val="12"/>
                <w:szCs w:val="12"/>
              </w:rPr>
            </w:pPr>
            <w:r w:rsidRPr="00D85D5E">
              <w:rPr>
                <w:rFonts w:asciiTheme="majorHAnsi" w:hAnsiTheme="majorHAnsi" w:cstheme="majorHAnsi"/>
                <w:b/>
                <w:sz w:val="12"/>
                <w:szCs w:val="12"/>
              </w:rPr>
              <w:t>75 ML/d</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3958B332" w14:textId="0F16A901"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8.7 days 2.6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1ADF6500" w14:textId="2378861C"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11.6 days 2.5 per season</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073270B1" w14:textId="6B5D12BA"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10.4 days 3.4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3519F8EA" w14:textId="54CBB510"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14.1 days 4.1 per season</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406EEED7" w14:textId="7777777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25.8 days 3.3 time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7ACD9308" w14:textId="3696BB39"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33 days 3.1 per season</w:t>
            </w:r>
          </w:p>
        </w:tc>
      </w:tr>
      <w:tr w:rsidR="00D85D5E" w:rsidRPr="00D85D5E" w14:paraId="167F30CB" w14:textId="77777777" w:rsidTr="005A375E">
        <w:tc>
          <w:tcPr>
            <w:tcW w:w="955" w:type="dxa"/>
            <w:vMerge/>
            <w:tcBorders>
              <w:top w:val="single" w:sz="4" w:space="0" w:color="auto"/>
              <w:left w:val="single" w:sz="4" w:space="0" w:color="auto"/>
              <w:bottom w:val="single" w:sz="4" w:space="0" w:color="auto"/>
              <w:right w:val="single" w:sz="4" w:space="0" w:color="auto"/>
            </w:tcBorders>
            <w:vAlign w:val="center"/>
            <w:hideMark/>
          </w:tcPr>
          <w:p w14:paraId="66D52BD9" w14:textId="77777777" w:rsidR="00D85D5E" w:rsidRPr="00D85D5E" w:rsidRDefault="00D85D5E">
            <w:pPr>
              <w:spacing w:after="0" w:line="240" w:lineRule="auto"/>
              <w:rPr>
                <w:rFonts w:asciiTheme="majorHAnsi" w:hAnsiTheme="majorHAnsi" w:cstheme="majorHAnsi"/>
                <w:b/>
                <w:sz w:val="12"/>
                <w:szCs w:val="12"/>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14:paraId="1B001114" w14:textId="77777777" w:rsidR="00D85D5E" w:rsidRPr="00D85D5E" w:rsidRDefault="00D85D5E">
            <w:pPr>
              <w:spacing w:after="0" w:line="240" w:lineRule="auto"/>
              <w:rPr>
                <w:rFonts w:asciiTheme="majorHAnsi" w:hAnsiTheme="majorHAnsi" w:cstheme="majorHAnsi"/>
                <w:sz w:val="12"/>
                <w:szCs w:val="12"/>
              </w:rPr>
            </w:pPr>
          </w:p>
        </w:tc>
        <w:tc>
          <w:tcPr>
            <w:tcW w:w="1495" w:type="dxa"/>
            <w:vMerge/>
            <w:tcBorders>
              <w:top w:val="single" w:sz="4" w:space="0" w:color="auto"/>
              <w:left w:val="single" w:sz="4" w:space="0" w:color="auto"/>
              <w:bottom w:val="single" w:sz="4" w:space="0" w:color="auto"/>
              <w:right w:val="single" w:sz="4" w:space="0" w:color="auto"/>
            </w:tcBorders>
            <w:vAlign w:val="center"/>
            <w:hideMark/>
          </w:tcPr>
          <w:p w14:paraId="6C9BFFA9" w14:textId="77777777" w:rsidR="00D85D5E" w:rsidRPr="00D85D5E" w:rsidRDefault="00D85D5E">
            <w:pPr>
              <w:spacing w:after="0" w:line="240" w:lineRule="auto"/>
              <w:rPr>
                <w:rFonts w:asciiTheme="majorHAnsi" w:hAnsiTheme="majorHAnsi" w:cstheme="majorHAnsi"/>
                <w:sz w:val="12"/>
                <w:szCs w:val="12"/>
              </w:rPr>
            </w:pPr>
          </w:p>
        </w:tc>
        <w:tc>
          <w:tcPr>
            <w:tcW w:w="992"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37ABD69A" w14:textId="77777777" w:rsidR="00D85D5E" w:rsidRPr="00D85D5E" w:rsidRDefault="00D85D5E" w:rsidP="005A375E">
            <w:pPr>
              <w:pStyle w:val="Tablesmalltext"/>
              <w:spacing w:line="200" w:lineRule="atLeast"/>
              <w:rPr>
                <w:rFonts w:asciiTheme="majorHAnsi" w:hAnsiTheme="majorHAnsi" w:cstheme="majorHAnsi"/>
                <w:b/>
                <w:sz w:val="12"/>
                <w:szCs w:val="12"/>
              </w:rPr>
            </w:pPr>
            <w:r w:rsidRPr="00D85D5E">
              <w:rPr>
                <w:rFonts w:asciiTheme="majorHAnsi" w:hAnsiTheme="majorHAnsi" w:cstheme="majorHAnsi"/>
                <w:b/>
                <w:sz w:val="12"/>
                <w:szCs w:val="12"/>
              </w:rPr>
              <w:t>150 ML/d</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5654B47A" w14:textId="616C6D93"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5.5 days 2.1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0A9C80B1" w14:textId="1A92AB33"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6.9 days 2.1 per season</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3101CE02" w14:textId="26C55D78"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6.0 days 2.7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2D48F60C" w14:textId="366F6AAF"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6.7 days 3.7 per season</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63140399" w14:textId="015B8BD4"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12.4 days 3.2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11DAEB3D" w14:textId="127476AC"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13.9 days 3.4 per season</w:t>
            </w:r>
          </w:p>
        </w:tc>
      </w:tr>
      <w:tr w:rsidR="00D85D5E" w:rsidRPr="00D85D5E" w14:paraId="7D1CD104" w14:textId="77777777" w:rsidTr="005A375E">
        <w:trPr>
          <w:trHeight w:val="457"/>
        </w:trPr>
        <w:tc>
          <w:tcPr>
            <w:tcW w:w="955" w:type="dxa"/>
            <w:vMerge/>
            <w:tcBorders>
              <w:top w:val="single" w:sz="4" w:space="0" w:color="auto"/>
              <w:left w:val="single" w:sz="4" w:space="0" w:color="auto"/>
              <w:bottom w:val="single" w:sz="4" w:space="0" w:color="auto"/>
              <w:right w:val="single" w:sz="4" w:space="0" w:color="auto"/>
            </w:tcBorders>
            <w:vAlign w:val="center"/>
            <w:hideMark/>
          </w:tcPr>
          <w:p w14:paraId="287FA6FA" w14:textId="77777777" w:rsidR="00D85D5E" w:rsidRPr="00D85D5E" w:rsidRDefault="00D85D5E">
            <w:pPr>
              <w:spacing w:after="0" w:line="240" w:lineRule="auto"/>
              <w:rPr>
                <w:rFonts w:asciiTheme="majorHAnsi" w:hAnsiTheme="majorHAnsi" w:cstheme="majorHAnsi"/>
                <w:b/>
                <w:sz w:val="12"/>
                <w:szCs w:val="12"/>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14:paraId="44358662" w14:textId="77777777" w:rsidR="00D85D5E" w:rsidRPr="00D85D5E" w:rsidRDefault="00D85D5E">
            <w:pPr>
              <w:spacing w:after="0" w:line="240" w:lineRule="auto"/>
              <w:rPr>
                <w:rFonts w:asciiTheme="majorHAnsi" w:hAnsiTheme="majorHAnsi" w:cstheme="majorHAnsi"/>
                <w:sz w:val="12"/>
                <w:szCs w:val="12"/>
              </w:rPr>
            </w:pPr>
          </w:p>
        </w:tc>
        <w:tc>
          <w:tcPr>
            <w:tcW w:w="1495" w:type="dxa"/>
            <w:vMerge/>
            <w:tcBorders>
              <w:top w:val="single" w:sz="4" w:space="0" w:color="auto"/>
              <w:left w:val="single" w:sz="4" w:space="0" w:color="auto"/>
              <w:bottom w:val="single" w:sz="4" w:space="0" w:color="auto"/>
              <w:right w:val="single" w:sz="4" w:space="0" w:color="auto"/>
            </w:tcBorders>
            <w:vAlign w:val="center"/>
            <w:hideMark/>
          </w:tcPr>
          <w:p w14:paraId="547134F8" w14:textId="77777777" w:rsidR="00D85D5E" w:rsidRPr="00D85D5E" w:rsidRDefault="00D85D5E">
            <w:pPr>
              <w:spacing w:after="0" w:line="240" w:lineRule="auto"/>
              <w:rPr>
                <w:rFonts w:asciiTheme="majorHAnsi" w:hAnsiTheme="majorHAnsi" w:cstheme="majorHAnsi"/>
                <w:sz w:val="12"/>
                <w:szCs w:val="12"/>
              </w:rPr>
            </w:pPr>
          </w:p>
        </w:tc>
        <w:tc>
          <w:tcPr>
            <w:tcW w:w="992"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1609DFFE" w14:textId="77777777" w:rsidR="00D85D5E" w:rsidRPr="00D85D5E" w:rsidRDefault="00D85D5E" w:rsidP="005A375E">
            <w:pPr>
              <w:pStyle w:val="Tablesmalltext"/>
              <w:spacing w:line="200" w:lineRule="atLeast"/>
              <w:rPr>
                <w:rFonts w:asciiTheme="majorHAnsi" w:hAnsiTheme="majorHAnsi" w:cstheme="majorHAnsi"/>
                <w:b/>
                <w:sz w:val="12"/>
                <w:szCs w:val="12"/>
              </w:rPr>
            </w:pPr>
            <w:r w:rsidRPr="00D85D5E">
              <w:rPr>
                <w:rFonts w:asciiTheme="majorHAnsi" w:hAnsiTheme="majorHAnsi" w:cstheme="majorHAnsi"/>
                <w:b/>
                <w:sz w:val="12"/>
                <w:szCs w:val="12"/>
              </w:rPr>
              <w:t>250 ML/d</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13E2DB35" w14:textId="327407F8"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4.8 days 1.5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0100421F" w14:textId="08D5B033"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5.75 days 1.5 per season</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01F545C7" w14:textId="39957083"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5.5 days 1.9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3982A4B5" w14:textId="67B017E1"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4.7 days 2.8 per season</w:t>
            </w:r>
          </w:p>
        </w:tc>
        <w:tc>
          <w:tcPr>
            <w:tcW w:w="945" w:type="dxa"/>
            <w:tcBorders>
              <w:top w:val="single" w:sz="4" w:space="0" w:color="auto"/>
              <w:left w:val="single" w:sz="4" w:space="0" w:color="auto"/>
              <w:bottom w:val="single" w:sz="4" w:space="0" w:color="auto"/>
              <w:right w:val="single" w:sz="4" w:space="0" w:color="auto"/>
            </w:tcBorders>
            <w:tcMar>
              <w:top w:w="0" w:type="dxa"/>
              <w:left w:w="34" w:type="dxa"/>
              <w:bottom w:w="0" w:type="dxa"/>
              <w:right w:w="34" w:type="dxa"/>
            </w:tcMar>
            <w:vAlign w:val="center"/>
            <w:hideMark/>
          </w:tcPr>
          <w:p w14:paraId="63F588AE" w14:textId="77777777"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8.9 days 2.7 time per season</w:t>
            </w:r>
          </w:p>
        </w:tc>
        <w:tc>
          <w:tcPr>
            <w:tcW w:w="945" w:type="dxa"/>
            <w:tcBorders>
              <w:top w:val="single" w:sz="4" w:space="0" w:color="auto"/>
              <w:left w:val="single" w:sz="4" w:space="0" w:color="auto"/>
              <w:bottom w:val="single" w:sz="4" w:space="0" w:color="auto"/>
              <w:right w:val="single" w:sz="4" w:space="0" w:color="auto"/>
            </w:tcBorders>
            <w:shd w:val="clear" w:color="auto" w:fill="92D050"/>
            <w:tcMar>
              <w:top w:w="0" w:type="dxa"/>
              <w:left w:w="34" w:type="dxa"/>
              <w:bottom w:w="0" w:type="dxa"/>
              <w:right w:w="34" w:type="dxa"/>
            </w:tcMar>
            <w:vAlign w:val="center"/>
            <w:hideMark/>
          </w:tcPr>
          <w:p w14:paraId="5D897365" w14:textId="24D11784" w:rsidR="00D85D5E" w:rsidRPr="00D85D5E" w:rsidRDefault="00D85D5E" w:rsidP="00816DF1">
            <w:pPr>
              <w:pStyle w:val="Tablesmalltext"/>
              <w:spacing w:line="200" w:lineRule="atLeast"/>
              <w:jc w:val="center"/>
              <w:rPr>
                <w:rFonts w:asciiTheme="majorHAnsi" w:hAnsiTheme="majorHAnsi" w:cstheme="majorHAnsi"/>
                <w:sz w:val="12"/>
                <w:szCs w:val="12"/>
              </w:rPr>
            </w:pPr>
            <w:r w:rsidRPr="00D85D5E">
              <w:rPr>
                <w:rFonts w:asciiTheme="majorHAnsi" w:hAnsiTheme="majorHAnsi" w:cstheme="majorHAnsi"/>
                <w:sz w:val="12"/>
                <w:szCs w:val="12"/>
              </w:rPr>
              <w:t>9.6 days 2.8 per season</w:t>
            </w:r>
          </w:p>
        </w:tc>
      </w:tr>
    </w:tbl>
    <w:p w14:paraId="5920587C" w14:textId="77777777" w:rsidR="007A603A" w:rsidRDefault="007A603A" w:rsidP="00DB3E13">
      <w:pPr>
        <w:pStyle w:val="Para0bullet"/>
        <w:numPr>
          <w:ilvl w:val="0"/>
          <w:numId w:val="0"/>
        </w:numPr>
        <w:ind w:left="425" w:hanging="425"/>
      </w:pPr>
    </w:p>
    <w:p w14:paraId="3F000562" w14:textId="6CC8D05E" w:rsidR="007B6EA4" w:rsidRDefault="00C566A1" w:rsidP="00C566A1">
      <w:pPr>
        <w:pStyle w:val="Heading3"/>
      </w:pPr>
      <w:bookmarkStart w:id="83" w:name="_Toc69480715"/>
      <w:r>
        <w:t>Channel stability risks</w:t>
      </w:r>
      <w:bookmarkEnd w:id="83"/>
    </w:p>
    <w:p w14:paraId="187DD4BC" w14:textId="51B2E9F1" w:rsidR="00C566A1" w:rsidRDefault="00034CE2" w:rsidP="00504189">
      <w:pPr>
        <w:spacing w:after="0" w:line="240" w:lineRule="auto"/>
      </w:pPr>
      <w:r>
        <w:t xml:space="preserve">For the channel stability metrics </w:t>
      </w:r>
      <w:r w:rsidR="002607E5">
        <w:t>(</w:t>
      </w:r>
      <w:r w:rsidR="00504189">
        <w:fldChar w:fldCharType="begin"/>
      </w:r>
      <w:r w:rsidR="00504189">
        <w:instrText xml:space="preserve"> REF _Ref42879780 \h </w:instrText>
      </w:r>
      <w:r w:rsidR="00504189">
        <w:fldChar w:fldCharType="separate"/>
      </w:r>
      <w:r w:rsidR="00BE5F47">
        <w:t xml:space="preserve">Table </w:t>
      </w:r>
      <w:r w:rsidR="00BE5F47">
        <w:rPr>
          <w:noProof/>
        </w:rPr>
        <w:t>5</w:t>
      </w:r>
      <w:r w:rsidR="00BE5F47">
        <w:noBreakHyphen/>
      </w:r>
      <w:r w:rsidR="00BE5F47">
        <w:rPr>
          <w:noProof/>
        </w:rPr>
        <w:t>10</w:t>
      </w:r>
      <w:r w:rsidR="00504189">
        <w:fldChar w:fldCharType="end"/>
      </w:r>
      <w:r w:rsidR="002607E5">
        <w:t>)</w:t>
      </w:r>
      <w:r>
        <w:t xml:space="preserve"> t</w:t>
      </w:r>
      <w:r w:rsidR="00C566A1">
        <w:t xml:space="preserve">here is </w:t>
      </w:r>
      <w:r>
        <w:t>a slight increase</w:t>
      </w:r>
      <w:r w:rsidR="00EF25F3">
        <w:t xml:space="preserve"> </w:t>
      </w:r>
      <w:r>
        <w:t>in</w:t>
      </w:r>
      <w:r w:rsidR="002607E5">
        <w:t xml:space="preserve"> the percentage of time</w:t>
      </w:r>
      <w:r w:rsidR="00C43996">
        <w:t xml:space="preserve"> (34</w:t>
      </w:r>
      <w:r w:rsidR="00121B83">
        <w:t xml:space="preserve"> to </w:t>
      </w:r>
      <w:r w:rsidR="00C43996">
        <w:t>44% of the time)</w:t>
      </w:r>
      <w:r w:rsidR="002607E5">
        <w:t xml:space="preserve"> that flows downstream of</w:t>
      </w:r>
      <w:r>
        <w:t xml:space="preserve"> </w:t>
      </w:r>
      <w:r w:rsidR="00C43996">
        <w:t xml:space="preserve">the proposed </w:t>
      </w:r>
      <w:r>
        <w:t>Minta Farm PSP</w:t>
      </w:r>
      <w:r w:rsidR="002607E5">
        <w:t xml:space="preserve"> outfalls fall within the moderate risk range for shear stresses compared with current (as modelled at Cardinia Drop Structure), however, overall risks to channel stability are considered low.  However, downstream of the </w:t>
      </w:r>
      <w:r w:rsidR="00C43996">
        <w:t xml:space="preserve">proposed </w:t>
      </w:r>
      <w:r w:rsidR="002607E5">
        <w:t>Officer South</w:t>
      </w:r>
      <w:r w:rsidR="00C43996">
        <w:t xml:space="preserve"> and Cardinia South</w:t>
      </w:r>
      <w:r w:rsidR="002607E5">
        <w:t xml:space="preserve"> PSP outfall</w:t>
      </w:r>
      <w:r w:rsidR="00C43996">
        <w:t>s (as modelled at Chasemore Road)</w:t>
      </w:r>
      <w:r w:rsidR="002607E5">
        <w:t xml:space="preserve"> there is</w:t>
      </w:r>
      <w:r w:rsidR="00C43996">
        <w:t xml:space="preserve"> the</w:t>
      </w:r>
      <w:r>
        <w:t xml:space="preserve"> </w:t>
      </w:r>
      <w:r w:rsidR="00C566A1">
        <w:t>potential for a</w:t>
      </w:r>
      <w:r w:rsidR="00C43996">
        <w:t xml:space="preserve"> larger increase in the duration of time that flow falls within moderate and high shear stress risk categories, an increase in the percentage of time that flows exceed bed mobilisation thresholds and an increase in the number and duration of events considered to be high flows.  Risks tend to be mitigated downstream of Chasemore Road due to the </w:t>
      </w:r>
      <w:r w:rsidR="00C566A1">
        <w:t xml:space="preserve">larger channel capacity </w:t>
      </w:r>
      <w:r w:rsidR="00C43996">
        <w:t>of the Cardinia Outfall through the Koo Wee Rup Flood Protection Area (as modelled by flows at the Westernport Bay outlet).</w:t>
      </w:r>
      <w:r w:rsidR="00C566A1">
        <w:t xml:space="preserve">  </w:t>
      </w:r>
    </w:p>
    <w:p w14:paraId="49A2E77D" w14:textId="77777777" w:rsidR="00504189" w:rsidRDefault="00504189" w:rsidP="00504189">
      <w:pPr>
        <w:pStyle w:val="Para0"/>
      </w:pPr>
      <w:bookmarkStart w:id="84" w:name="_Ref42866494"/>
    </w:p>
    <w:p w14:paraId="12639F84" w14:textId="200CF647" w:rsidR="00034CE2" w:rsidRDefault="00425457" w:rsidP="00034CE2">
      <w:pPr>
        <w:pStyle w:val="Caption"/>
      </w:pPr>
      <w:bookmarkStart w:id="85" w:name="_Ref42879780"/>
      <w:r>
        <w:lastRenderedPageBreak/>
        <w:t xml:space="preserve">Table </w:t>
      </w:r>
      <w:r w:rsidR="00E67EC2">
        <w:fldChar w:fldCharType="begin"/>
      </w:r>
      <w:r w:rsidR="00E67EC2">
        <w:instrText xml:space="preserve"> STYLEREF 1 \s </w:instrText>
      </w:r>
      <w:r w:rsidR="00E67EC2">
        <w:fldChar w:fldCharType="separate"/>
      </w:r>
      <w:r w:rsidR="00BE5F47">
        <w:rPr>
          <w:noProof/>
        </w:rPr>
        <w:t>5</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10</w:t>
      </w:r>
      <w:r w:rsidR="00E67EC2">
        <w:fldChar w:fldCharType="end"/>
      </w:r>
      <w:bookmarkEnd w:id="84"/>
      <w:bookmarkEnd w:id="85"/>
      <w:r w:rsidR="00034CE2">
        <w:t xml:space="preserve"> Current and modelled future channel stability risks</w:t>
      </w:r>
      <w:r w:rsidR="00C43996">
        <w:t xml:space="preserve"> (daily modelled flow)</w:t>
      </w:r>
    </w:p>
    <w:tbl>
      <w:tblPr>
        <w:tblStyle w:val="TableGrid"/>
        <w:tblW w:w="10343" w:type="dxa"/>
        <w:tblLayout w:type="fixed"/>
        <w:tblLook w:val="04A0" w:firstRow="1" w:lastRow="0" w:firstColumn="1" w:lastColumn="0" w:noHBand="0" w:noVBand="1"/>
      </w:tblPr>
      <w:tblGrid>
        <w:gridCol w:w="988"/>
        <w:gridCol w:w="1984"/>
        <w:gridCol w:w="1985"/>
        <w:gridCol w:w="897"/>
        <w:gridCol w:w="898"/>
        <w:gridCol w:w="898"/>
        <w:gridCol w:w="897"/>
        <w:gridCol w:w="898"/>
        <w:gridCol w:w="898"/>
      </w:tblGrid>
      <w:tr w:rsidR="00034CE2" w:rsidRPr="00034CE2" w14:paraId="7B913B8D" w14:textId="77777777" w:rsidTr="002607E5">
        <w:tc>
          <w:tcPr>
            <w:tcW w:w="988" w:type="dxa"/>
            <w:tcBorders>
              <w:top w:val="single" w:sz="4" w:space="0" w:color="auto"/>
              <w:left w:val="single" w:sz="4" w:space="0" w:color="auto"/>
              <w:bottom w:val="single" w:sz="4" w:space="0" w:color="auto"/>
              <w:right w:val="single" w:sz="4" w:space="0" w:color="auto"/>
            </w:tcBorders>
            <w:tcMar>
              <w:left w:w="57" w:type="dxa"/>
              <w:right w:w="57" w:type="dxa"/>
            </w:tcMar>
          </w:tcPr>
          <w:p w14:paraId="788058C7" w14:textId="77777777" w:rsidR="00034CE2" w:rsidRPr="00034CE2" w:rsidRDefault="00034CE2">
            <w:pPr>
              <w:pStyle w:val="Tablesmallheading"/>
              <w:rPr>
                <w:rFonts w:asciiTheme="minorHAnsi" w:hAnsiTheme="minorHAnsi" w:cstheme="minorBidi"/>
                <w:sz w:val="14"/>
                <w:szCs w:val="14"/>
                <w:lang w:val="en-AU"/>
              </w:rPr>
            </w:pP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6EDABC8E" w14:textId="77777777" w:rsidR="00034CE2" w:rsidRPr="00034CE2" w:rsidRDefault="00034CE2">
            <w:pPr>
              <w:pStyle w:val="Tablesmallheading"/>
              <w:rPr>
                <w:sz w:val="14"/>
                <w:szCs w:val="14"/>
              </w:rPr>
            </w:pPr>
          </w:p>
        </w:tc>
        <w:tc>
          <w:tcPr>
            <w:tcW w:w="1985" w:type="dxa"/>
            <w:tcBorders>
              <w:top w:val="single" w:sz="4" w:space="0" w:color="auto"/>
              <w:left w:val="single" w:sz="4" w:space="0" w:color="auto"/>
              <w:bottom w:val="single" w:sz="4" w:space="0" w:color="auto"/>
              <w:right w:val="single" w:sz="4" w:space="0" w:color="auto"/>
            </w:tcBorders>
            <w:tcMar>
              <w:left w:w="57" w:type="dxa"/>
              <w:right w:w="57" w:type="dxa"/>
            </w:tcMar>
          </w:tcPr>
          <w:p w14:paraId="588093F0" w14:textId="77777777" w:rsidR="00034CE2" w:rsidRPr="00034CE2" w:rsidRDefault="00034CE2">
            <w:pPr>
              <w:pStyle w:val="Tablesmallheading"/>
              <w:rPr>
                <w:sz w:val="14"/>
                <w:szCs w:val="14"/>
              </w:rPr>
            </w:pPr>
          </w:p>
        </w:tc>
        <w:tc>
          <w:tcPr>
            <w:tcW w:w="1795"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7B83DDF" w14:textId="77777777" w:rsidR="00034CE2" w:rsidRPr="00034CE2" w:rsidRDefault="00034CE2" w:rsidP="00034CE2">
            <w:pPr>
              <w:pStyle w:val="Tablesmallheading"/>
              <w:jc w:val="center"/>
              <w:rPr>
                <w:sz w:val="14"/>
                <w:szCs w:val="14"/>
              </w:rPr>
            </w:pPr>
            <w:r w:rsidRPr="00034CE2">
              <w:rPr>
                <w:sz w:val="14"/>
                <w:szCs w:val="14"/>
              </w:rPr>
              <w:t>Cardinia Drop Structure</w:t>
            </w:r>
          </w:p>
        </w:tc>
        <w:tc>
          <w:tcPr>
            <w:tcW w:w="1795"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22A6C20" w14:textId="77777777" w:rsidR="00034CE2" w:rsidRPr="00034CE2" w:rsidRDefault="00034CE2" w:rsidP="00034CE2">
            <w:pPr>
              <w:pStyle w:val="Tablesmallheading"/>
              <w:jc w:val="center"/>
              <w:rPr>
                <w:sz w:val="14"/>
                <w:szCs w:val="14"/>
              </w:rPr>
            </w:pPr>
            <w:r w:rsidRPr="00034CE2">
              <w:rPr>
                <w:sz w:val="14"/>
                <w:szCs w:val="14"/>
              </w:rPr>
              <w:t>Chasemore Road</w:t>
            </w:r>
          </w:p>
        </w:tc>
        <w:tc>
          <w:tcPr>
            <w:tcW w:w="179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082F8D8" w14:textId="77777777" w:rsidR="00034CE2" w:rsidRPr="00034CE2" w:rsidRDefault="00034CE2" w:rsidP="00034CE2">
            <w:pPr>
              <w:pStyle w:val="Tablesmallheading"/>
              <w:jc w:val="center"/>
              <w:rPr>
                <w:sz w:val="14"/>
                <w:szCs w:val="14"/>
              </w:rPr>
            </w:pPr>
            <w:r w:rsidRPr="00034CE2">
              <w:rPr>
                <w:sz w:val="14"/>
                <w:szCs w:val="14"/>
              </w:rPr>
              <w:t>WPB outlet</w:t>
            </w:r>
          </w:p>
        </w:tc>
      </w:tr>
      <w:tr w:rsidR="00034CE2" w:rsidRPr="00034CE2" w14:paraId="502DCF56" w14:textId="77777777" w:rsidTr="002607E5">
        <w:tc>
          <w:tcPr>
            <w:tcW w:w="9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DA67C33" w14:textId="77777777" w:rsidR="00034CE2" w:rsidRPr="00034CE2" w:rsidRDefault="00034CE2" w:rsidP="00034CE2">
            <w:pPr>
              <w:pStyle w:val="Tablesmallheading"/>
              <w:rPr>
                <w:sz w:val="14"/>
                <w:szCs w:val="14"/>
              </w:rPr>
            </w:pPr>
            <w:r w:rsidRPr="00034CE2">
              <w:rPr>
                <w:sz w:val="14"/>
                <w:szCs w:val="14"/>
              </w:rPr>
              <w:t>Component</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6F75A43" w14:textId="77777777" w:rsidR="00034CE2" w:rsidRPr="00034CE2" w:rsidRDefault="00034CE2" w:rsidP="00034CE2">
            <w:pPr>
              <w:pStyle w:val="Tablesmallheading"/>
              <w:rPr>
                <w:sz w:val="14"/>
                <w:szCs w:val="14"/>
              </w:rPr>
            </w:pPr>
            <w:r w:rsidRPr="00034CE2">
              <w:rPr>
                <w:sz w:val="14"/>
                <w:szCs w:val="14"/>
              </w:rPr>
              <w:t>Function / effect</w:t>
            </w:r>
          </w:p>
        </w:tc>
        <w:tc>
          <w:tcPr>
            <w:tcW w:w="1985"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A4E9CDA" w14:textId="77777777" w:rsidR="00034CE2" w:rsidRPr="00034CE2" w:rsidRDefault="00034CE2" w:rsidP="00034CE2">
            <w:pPr>
              <w:pStyle w:val="Tablesmallheading"/>
              <w:rPr>
                <w:sz w:val="14"/>
                <w:szCs w:val="14"/>
              </w:rPr>
            </w:pPr>
            <w:r w:rsidRPr="00034CE2">
              <w:rPr>
                <w:sz w:val="14"/>
                <w:szCs w:val="14"/>
              </w:rPr>
              <w:t>Threshold</w:t>
            </w:r>
          </w:p>
        </w:tc>
        <w:tc>
          <w:tcPr>
            <w:tcW w:w="8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4E408DF" w14:textId="4F8E3B83" w:rsidR="00034CE2" w:rsidRPr="00034CE2" w:rsidRDefault="00034CE2" w:rsidP="00034CE2">
            <w:pPr>
              <w:pStyle w:val="Tablesmallheading"/>
              <w:jc w:val="center"/>
              <w:rPr>
                <w:sz w:val="14"/>
                <w:szCs w:val="14"/>
              </w:rPr>
            </w:pPr>
            <w:r w:rsidRPr="00D85D5E">
              <w:rPr>
                <w:rFonts w:asciiTheme="majorHAnsi" w:hAnsiTheme="majorHAnsi" w:cstheme="majorHAnsi"/>
                <w:sz w:val="12"/>
                <w:szCs w:val="12"/>
              </w:rPr>
              <w:t>Current</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B353D42" w14:textId="45840E57" w:rsidR="00034CE2" w:rsidRPr="00034CE2" w:rsidRDefault="00034CE2" w:rsidP="00034CE2">
            <w:pPr>
              <w:pStyle w:val="Tablesmallheading"/>
              <w:jc w:val="center"/>
              <w:rPr>
                <w:sz w:val="14"/>
                <w:szCs w:val="14"/>
              </w:rPr>
            </w:pPr>
            <w:r w:rsidRPr="00D85D5E">
              <w:rPr>
                <w:rFonts w:asciiTheme="majorHAnsi" w:hAnsiTheme="majorHAnsi" w:cstheme="majorHAnsi"/>
                <w:sz w:val="12"/>
                <w:szCs w:val="12"/>
              </w:rPr>
              <w:t>+MFN+MFS</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47BFC8B" w14:textId="4FBDE1C7" w:rsidR="00034CE2" w:rsidRPr="00034CE2" w:rsidRDefault="00034CE2" w:rsidP="00034CE2">
            <w:pPr>
              <w:pStyle w:val="Tablesmallheading"/>
              <w:jc w:val="center"/>
              <w:rPr>
                <w:sz w:val="14"/>
                <w:szCs w:val="14"/>
              </w:rPr>
            </w:pPr>
            <w:r w:rsidRPr="00D85D5E">
              <w:rPr>
                <w:rFonts w:asciiTheme="majorHAnsi" w:hAnsiTheme="majorHAnsi" w:cstheme="majorHAnsi"/>
                <w:sz w:val="12"/>
                <w:szCs w:val="12"/>
              </w:rPr>
              <w:t>Current</w:t>
            </w:r>
          </w:p>
        </w:tc>
        <w:tc>
          <w:tcPr>
            <w:tcW w:w="8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3944C18" w14:textId="77AF21A5" w:rsidR="00034CE2" w:rsidRPr="00034CE2" w:rsidRDefault="00034CE2" w:rsidP="00034CE2">
            <w:pPr>
              <w:pStyle w:val="Tablesmallheading"/>
              <w:jc w:val="center"/>
              <w:rPr>
                <w:sz w:val="14"/>
                <w:szCs w:val="14"/>
              </w:rPr>
            </w:pPr>
            <w:r w:rsidRPr="00D85D5E">
              <w:rPr>
                <w:rFonts w:asciiTheme="majorHAnsi" w:hAnsiTheme="majorHAnsi" w:cstheme="majorHAnsi"/>
                <w:sz w:val="12"/>
                <w:szCs w:val="12"/>
              </w:rPr>
              <w:t>+MF+OS+CS</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B380843" w14:textId="7121BC23" w:rsidR="00034CE2" w:rsidRPr="00034CE2" w:rsidRDefault="00034CE2" w:rsidP="00034CE2">
            <w:pPr>
              <w:pStyle w:val="Tablesmallheading"/>
              <w:jc w:val="center"/>
              <w:rPr>
                <w:sz w:val="14"/>
                <w:szCs w:val="14"/>
              </w:rPr>
            </w:pPr>
            <w:r w:rsidRPr="00D85D5E">
              <w:rPr>
                <w:rFonts w:asciiTheme="majorHAnsi" w:hAnsiTheme="majorHAnsi" w:cstheme="majorHAnsi"/>
                <w:sz w:val="12"/>
                <w:szCs w:val="12"/>
              </w:rPr>
              <w:t>Current</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FA1E07D" w14:textId="257E08D9" w:rsidR="00034CE2" w:rsidRPr="00034CE2" w:rsidRDefault="00034CE2" w:rsidP="00034CE2">
            <w:pPr>
              <w:pStyle w:val="Tablesmallheading"/>
              <w:jc w:val="center"/>
              <w:rPr>
                <w:sz w:val="14"/>
                <w:szCs w:val="14"/>
              </w:rPr>
            </w:pPr>
            <w:r w:rsidRPr="00D85D5E">
              <w:rPr>
                <w:rFonts w:asciiTheme="majorHAnsi" w:hAnsiTheme="majorHAnsi" w:cstheme="majorHAnsi"/>
                <w:sz w:val="12"/>
                <w:szCs w:val="12"/>
              </w:rPr>
              <w:t>+MF+OS+CS</w:t>
            </w:r>
          </w:p>
        </w:tc>
      </w:tr>
      <w:tr w:rsidR="00034CE2" w:rsidRPr="00034CE2" w14:paraId="005A7833" w14:textId="77777777" w:rsidTr="002607E5">
        <w:trPr>
          <w:trHeight w:val="536"/>
        </w:trPr>
        <w:tc>
          <w:tcPr>
            <w:tcW w:w="988" w:type="dxa"/>
            <w:vMerge w:val="restart"/>
            <w:tcBorders>
              <w:top w:val="single" w:sz="4" w:space="0" w:color="auto"/>
              <w:left w:val="single" w:sz="4" w:space="0" w:color="auto"/>
              <w:bottom w:val="single" w:sz="4" w:space="0" w:color="auto"/>
              <w:right w:val="single" w:sz="4" w:space="0" w:color="auto"/>
            </w:tcBorders>
            <w:tcMar>
              <w:left w:w="57" w:type="dxa"/>
              <w:right w:w="57" w:type="dxa"/>
            </w:tcMar>
            <w:hideMark/>
          </w:tcPr>
          <w:p w14:paraId="0877EB5D" w14:textId="77777777" w:rsidR="00034CE2" w:rsidRPr="00034CE2" w:rsidRDefault="00034CE2">
            <w:pPr>
              <w:pStyle w:val="Tablesmallheading"/>
              <w:rPr>
                <w:sz w:val="14"/>
                <w:szCs w:val="14"/>
              </w:rPr>
            </w:pPr>
            <w:r w:rsidRPr="00034CE2">
              <w:rPr>
                <w:sz w:val="14"/>
                <w:szCs w:val="14"/>
              </w:rPr>
              <w:t>Shear stress rankings</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hideMark/>
          </w:tcPr>
          <w:p w14:paraId="7B8D0F72" w14:textId="77777777" w:rsidR="00034CE2" w:rsidRPr="00034CE2" w:rsidRDefault="00034CE2">
            <w:pPr>
              <w:pStyle w:val="Tablesmalltext"/>
              <w:rPr>
                <w:sz w:val="14"/>
                <w:szCs w:val="14"/>
              </w:rPr>
            </w:pPr>
            <w:r w:rsidRPr="00034CE2">
              <w:rPr>
                <w:sz w:val="14"/>
                <w:szCs w:val="14"/>
              </w:rPr>
              <w:t>Different bed material mobilise at different shear stresses. Flow magnitudes that correspond the shear stress risk categories has been determined for the Cardinia Creek channel.  Assessment is against percent of time that flow exceeds various risk categories under current and full development</w:t>
            </w:r>
          </w:p>
        </w:tc>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D967F3F" w14:textId="77777777" w:rsidR="00034CE2" w:rsidRPr="00034CE2" w:rsidRDefault="00034CE2" w:rsidP="002607E5">
            <w:pPr>
              <w:pStyle w:val="Tablesmalltext"/>
              <w:rPr>
                <w:b/>
                <w:sz w:val="14"/>
                <w:szCs w:val="14"/>
              </w:rPr>
            </w:pPr>
            <w:r w:rsidRPr="00034CE2">
              <w:rPr>
                <w:b/>
                <w:sz w:val="14"/>
                <w:szCs w:val="14"/>
              </w:rPr>
              <w:t>&lt; 5 ML/d (very low risk)</w:t>
            </w:r>
          </w:p>
        </w:tc>
        <w:tc>
          <w:tcPr>
            <w:tcW w:w="8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19C9763" w14:textId="54314FFA" w:rsidR="00034CE2" w:rsidRPr="00034CE2" w:rsidRDefault="00034CE2" w:rsidP="00034CE2">
            <w:pPr>
              <w:pStyle w:val="Tablesmalltext"/>
              <w:jc w:val="center"/>
              <w:rPr>
                <w:sz w:val="14"/>
                <w:szCs w:val="14"/>
              </w:rPr>
            </w:pPr>
            <w:r w:rsidRPr="00034CE2">
              <w:rPr>
                <w:sz w:val="14"/>
                <w:szCs w:val="14"/>
              </w:rPr>
              <w:t>0%</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2F68826A" w14:textId="6C0ADED2" w:rsidR="00034CE2" w:rsidRPr="00034CE2" w:rsidRDefault="00034CE2" w:rsidP="00034CE2">
            <w:pPr>
              <w:pStyle w:val="Tablesmalltext"/>
              <w:jc w:val="center"/>
              <w:rPr>
                <w:sz w:val="14"/>
                <w:szCs w:val="14"/>
              </w:rPr>
            </w:pPr>
            <w:r w:rsidRPr="00034CE2">
              <w:rPr>
                <w:sz w:val="14"/>
                <w:szCs w:val="14"/>
              </w:rPr>
              <w:t>0%</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75FE0FE" w14:textId="2C783E0C" w:rsidR="00034CE2" w:rsidRPr="00034CE2" w:rsidRDefault="00034CE2" w:rsidP="00034CE2">
            <w:pPr>
              <w:pStyle w:val="Tablesmalltext"/>
              <w:jc w:val="center"/>
              <w:rPr>
                <w:sz w:val="14"/>
                <w:szCs w:val="14"/>
              </w:rPr>
            </w:pPr>
            <w:r w:rsidRPr="00034CE2">
              <w:rPr>
                <w:sz w:val="14"/>
                <w:szCs w:val="14"/>
              </w:rPr>
              <w:t>0%</w:t>
            </w:r>
            <w:r>
              <w:rPr>
                <w:sz w:val="14"/>
                <w:szCs w:val="14"/>
              </w:rPr>
              <w:t xml:space="preserve"> of time</w:t>
            </w:r>
          </w:p>
        </w:tc>
        <w:tc>
          <w:tcPr>
            <w:tcW w:w="897" w:type="dxa"/>
            <w:tcBorders>
              <w:top w:val="single" w:sz="4"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14474ADD" w14:textId="7CF10E37" w:rsidR="00034CE2" w:rsidRPr="00034CE2" w:rsidRDefault="00034CE2" w:rsidP="00034CE2">
            <w:pPr>
              <w:pStyle w:val="Tablesmalltext"/>
              <w:jc w:val="center"/>
              <w:rPr>
                <w:sz w:val="14"/>
                <w:szCs w:val="14"/>
              </w:rPr>
            </w:pPr>
            <w:r w:rsidRPr="00034CE2">
              <w:rPr>
                <w:sz w:val="14"/>
                <w:szCs w:val="14"/>
              </w:rPr>
              <w:t>0%</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E0FCAEB" w14:textId="389056F5" w:rsidR="00034CE2" w:rsidRPr="00034CE2" w:rsidRDefault="00034CE2" w:rsidP="00034CE2">
            <w:pPr>
              <w:pStyle w:val="Tablesmalltext"/>
              <w:jc w:val="center"/>
              <w:rPr>
                <w:sz w:val="14"/>
                <w:szCs w:val="14"/>
              </w:rPr>
            </w:pPr>
            <w:r w:rsidRPr="00034CE2">
              <w:rPr>
                <w:sz w:val="14"/>
                <w:szCs w:val="14"/>
              </w:rPr>
              <w:t>0%</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0EE8498E" w14:textId="19BCBC84" w:rsidR="00034CE2" w:rsidRPr="00034CE2" w:rsidRDefault="00034CE2" w:rsidP="00034CE2">
            <w:pPr>
              <w:pStyle w:val="Tablesmalltext"/>
              <w:jc w:val="center"/>
              <w:rPr>
                <w:sz w:val="14"/>
                <w:szCs w:val="14"/>
              </w:rPr>
            </w:pPr>
            <w:r w:rsidRPr="00034CE2">
              <w:rPr>
                <w:sz w:val="14"/>
                <w:szCs w:val="14"/>
              </w:rPr>
              <w:t>0%</w:t>
            </w:r>
            <w:r>
              <w:rPr>
                <w:sz w:val="14"/>
                <w:szCs w:val="14"/>
              </w:rPr>
              <w:t xml:space="preserve"> of time</w:t>
            </w:r>
          </w:p>
        </w:tc>
      </w:tr>
      <w:tr w:rsidR="00034CE2" w:rsidRPr="00034CE2" w14:paraId="2EC50EF9" w14:textId="77777777" w:rsidTr="002607E5">
        <w:trPr>
          <w:trHeight w:val="536"/>
        </w:trPr>
        <w:tc>
          <w:tcPr>
            <w:tcW w:w="98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9C1E511" w14:textId="77777777" w:rsidR="00034CE2" w:rsidRPr="00034CE2" w:rsidRDefault="00034CE2">
            <w:pPr>
              <w:spacing w:after="0" w:line="240" w:lineRule="auto"/>
              <w:rPr>
                <w:rFonts w:asciiTheme="minorHAnsi" w:hAnsiTheme="minorHAnsi" w:cstheme="minorBidi"/>
                <w:b/>
                <w:sz w:val="14"/>
                <w:szCs w:val="14"/>
              </w:rPr>
            </w:pPr>
          </w:p>
        </w:tc>
        <w:tc>
          <w:tcPr>
            <w:tcW w:w="198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E7D7AEC" w14:textId="77777777" w:rsidR="00034CE2" w:rsidRPr="00034CE2" w:rsidRDefault="00034CE2">
            <w:pPr>
              <w:spacing w:after="0" w:line="240" w:lineRule="auto"/>
              <w:rPr>
                <w:rFonts w:asciiTheme="minorHAnsi" w:hAnsiTheme="minorHAnsi" w:cstheme="minorBidi"/>
                <w:sz w:val="14"/>
                <w:szCs w:val="14"/>
              </w:rPr>
            </w:pPr>
          </w:p>
        </w:tc>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EE16501" w14:textId="77777777" w:rsidR="00034CE2" w:rsidRPr="00034CE2" w:rsidRDefault="00034CE2" w:rsidP="002607E5">
            <w:pPr>
              <w:pStyle w:val="Tablesmalltext"/>
              <w:rPr>
                <w:b/>
                <w:sz w:val="14"/>
                <w:szCs w:val="14"/>
              </w:rPr>
            </w:pPr>
            <w:r w:rsidRPr="00034CE2">
              <w:rPr>
                <w:b/>
                <w:sz w:val="14"/>
                <w:szCs w:val="14"/>
              </w:rPr>
              <w:t>5.1-30 ML/d (low risk)</w:t>
            </w:r>
          </w:p>
        </w:tc>
        <w:tc>
          <w:tcPr>
            <w:tcW w:w="8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7ECDD30" w14:textId="644063AF" w:rsidR="00034CE2" w:rsidRPr="00034CE2" w:rsidRDefault="00034CE2" w:rsidP="00034CE2">
            <w:pPr>
              <w:pStyle w:val="Tablesmalltext"/>
              <w:jc w:val="center"/>
              <w:rPr>
                <w:sz w:val="14"/>
                <w:szCs w:val="14"/>
              </w:rPr>
            </w:pPr>
            <w:r w:rsidRPr="00034CE2">
              <w:rPr>
                <w:sz w:val="14"/>
                <w:szCs w:val="14"/>
              </w:rPr>
              <w:t>62%</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44EE3DCC" w14:textId="172A7F1F" w:rsidR="00034CE2" w:rsidRPr="00034CE2" w:rsidRDefault="00034CE2" w:rsidP="00034CE2">
            <w:pPr>
              <w:pStyle w:val="Tablesmalltext"/>
              <w:jc w:val="center"/>
              <w:rPr>
                <w:sz w:val="14"/>
                <w:szCs w:val="14"/>
              </w:rPr>
            </w:pPr>
            <w:r w:rsidRPr="00034CE2">
              <w:rPr>
                <w:sz w:val="14"/>
                <w:szCs w:val="14"/>
              </w:rPr>
              <w:t>51%</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2C5A044" w14:textId="6FFB0581" w:rsidR="00034CE2" w:rsidRPr="00034CE2" w:rsidRDefault="00034CE2" w:rsidP="00034CE2">
            <w:pPr>
              <w:pStyle w:val="Tablesmalltext"/>
              <w:jc w:val="center"/>
              <w:rPr>
                <w:sz w:val="14"/>
                <w:szCs w:val="14"/>
              </w:rPr>
            </w:pPr>
            <w:r w:rsidRPr="00034CE2">
              <w:rPr>
                <w:sz w:val="14"/>
                <w:szCs w:val="14"/>
              </w:rPr>
              <w:t>55%</w:t>
            </w:r>
            <w:r>
              <w:rPr>
                <w:sz w:val="14"/>
                <w:szCs w:val="14"/>
              </w:rPr>
              <w:t xml:space="preserve"> of time</w:t>
            </w:r>
          </w:p>
        </w:tc>
        <w:tc>
          <w:tcPr>
            <w:tcW w:w="897" w:type="dxa"/>
            <w:tcBorders>
              <w:top w:val="single" w:sz="4"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72A20C6B" w14:textId="19821972" w:rsidR="00034CE2" w:rsidRPr="00034CE2" w:rsidRDefault="00034CE2" w:rsidP="00034CE2">
            <w:pPr>
              <w:pStyle w:val="Tablesmalltext"/>
              <w:jc w:val="center"/>
              <w:rPr>
                <w:sz w:val="14"/>
                <w:szCs w:val="14"/>
              </w:rPr>
            </w:pPr>
            <w:r w:rsidRPr="00034CE2">
              <w:rPr>
                <w:sz w:val="14"/>
                <w:szCs w:val="14"/>
              </w:rPr>
              <w:t>39%</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DC35C29" w14:textId="50B91D01" w:rsidR="00034CE2" w:rsidRPr="00034CE2" w:rsidRDefault="00034CE2" w:rsidP="00034CE2">
            <w:pPr>
              <w:pStyle w:val="Tablesmalltext"/>
              <w:jc w:val="center"/>
              <w:rPr>
                <w:sz w:val="14"/>
                <w:szCs w:val="14"/>
              </w:rPr>
            </w:pPr>
            <w:r w:rsidRPr="00034CE2">
              <w:rPr>
                <w:sz w:val="14"/>
                <w:szCs w:val="14"/>
              </w:rPr>
              <w:t>31%</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5AB3620A" w14:textId="17DF6B65" w:rsidR="00034CE2" w:rsidRPr="00034CE2" w:rsidRDefault="00034CE2" w:rsidP="00034CE2">
            <w:pPr>
              <w:pStyle w:val="Tablesmalltext"/>
              <w:jc w:val="center"/>
              <w:rPr>
                <w:sz w:val="14"/>
                <w:szCs w:val="14"/>
              </w:rPr>
            </w:pPr>
            <w:r w:rsidRPr="00034CE2">
              <w:rPr>
                <w:sz w:val="14"/>
                <w:szCs w:val="14"/>
              </w:rPr>
              <w:t>25%</w:t>
            </w:r>
            <w:r>
              <w:rPr>
                <w:sz w:val="14"/>
                <w:szCs w:val="14"/>
              </w:rPr>
              <w:t xml:space="preserve"> of time</w:t>
            </w:r>
          </w:p>
        </w:tc>
      </w:tr>
      <w:tr w:rsidR="00034CE2" w:rsidRPr="00034CE2" w14:paraId="3FFB9BB8" w14:textId="77777777" w:rsidTr="002607E5">
        <w:trPr>
          <w:trHeight w:val="536"/>
        </w:trPr>
        <w:tc>
          <w:tcPr>
            <w:tcW w:w="98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8DC2B2A" w14:textId="77777777" w:rsidR="00034CE2" w:rsidRPr="00034CE2" w:rsidRDefault="00034CE2">
            <w:pPr>
              <w:spacing w:after="0" w:line="240" w:lineRule="auto"/>
              <w:rPr>
                <w:rFonts w:asciiTheme="minorHAnsi" w:hAnsiTheme="minorHAnsi" w:cstheme="minorBidi"/>
                <w:b/>
                <w:sz w:val="14"/>
                <w:szCs w:val="14"/>
              </w:rPr>
            </w:pPr>
          </w:p>
        </w:tc>
        <w:tc>
          <w:tcPr>
            <w:tcW w:w="198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170D9C1" w14:textId="77777777" w:rsidR="00034CE2" w:rsidRPr="00034CE2" w:rsidRDefault="00034CE2">
            <w:pPr>
              <w:spacing w:after="0" w:line="240" w:lineRule="auto"/>
              <w:rPr>
                <w:rFonts w:asciiTheme="minorHAnsi" w:hAnsiTheme="minorHAnsi" w:cstheme="minorBidi"/>
                <w:sz w:val="14"/>
                <w:szCs w:val="14"/>
              </w:rPr>
            </w:pPr>
          </w:p>
        </w:tc>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15E7F61" w14:textId="59F1A899" w:rsidR="00034CE2" w:rsidRPr="00034CE2" w:rsidRDefault="00034CE2" w:rsidP="002607E5">
            <w:pPr>
              <w:pStyle w:val="Tablesmalltext"/>
              <w:rPr>
                <w:b/>
                <w:sz w:val="14"/>
                <w:szCs w:val="14"/>
              </w:rPr>
            </w:pPr>
            <w:r w:rsidRPr="00034CE2">
              <w:rPr>
                <w:b/>
                <w:sz w:val="14"/>
                <w:szCs w:val="14"/>
              </w:rPr>
              <w:t>30.1-200 ML/d (mod</w:t>
            </w:r>
            <w:r w:rsidR="002607E5">
              <w:rPr>
                <w:b/>
                <w:sz w:val="14"/>
                <w:szCs w:val="14"/>
              </w:rPr>
              <w:t>.</w:t>
            </w:r>
            <w:r w:rsidRPr="00034CE2">
              <w:rPr>
                <w:b/>
                <w:sz w:val="14"/>
                <w:szCs w:val="14"/>
              </w:rPr>
              <w:t xml:space="preserve"> risk)</w:t>
            </w:r>
          </w:p>
        </w:tc>
        <w:tc>
          <w:tcPr>
            <w:tcW w:w="8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14983E8" w14:textId="7C555AA1" w:rsidR="00034CE2" w:rsidRPr="00034CE2" w:rsidRDefault="00034CE2" w:rsidP="00034CE2">
            <w:pPr>
              <w:pStyle w:val="Tablesmalltext"/>
              <w:jc w:val="center"/>
              <w:rPr>
                <w:sz w:val="14"/>
                <w:szCs w:val="14"/>
              </w:rPr>
            </w:pPr>
            <w:r w:rsidRPr="00034CE2">
              <w:rPr>
                <w:sz w:val="14"/>
                <w:szCs w:val="14"/>
              </w:rPr>
              <w:t>34%</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vAlign w:val="center"/>
            <w:hideMark/>
          </w:tcPr>
          <w:p w14:paraId="4C5622B0" w14:textId="133880B1" w:rsidR="00034CE2" w:rsidRPr="00034CE2" w:rsidRDefault="00034CE2" w:rsidP="00034CE2">
            <w:pPr>
              <w:pStyle w:val="Tablesmalltext"/>
              <w:jc w:val="center"/>
              <w:rPr>
                <w:sz w:val="14"/>
                <w:szCs w:val="14"/>
              </w:rPr>
            </w:pPr>
            <w:r w:rsidRPr="00034CE2">
              <w:rPr>
                <w:sz w:val="14"/>
                <w:szCs w:val="14"/>
              </w:rPr>
              <w:t>44%</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F7D97C0" w14:textId="32D0E0D4" w:rsidR="00034CE2" w:rsidRPr="00034CE2" w:rsidRDefault="00034CE2" w:rsidP="00034CE2">
            <w:pPr>
              <w:pStyle w:val="Tablesmalltext"/>
              <w:jc w:val="center"/>
              <w:rPr>
                <w:sz w:val="14"/>
                <w:szCs w:val="14"/>
              </w:rPr>
            </w:pPr>
            <w:r w:rsidRPr="00034CE2">
              <w:rPr>
                <w:sz w:val="14"/>
                <w:szCs w:val="14"/>
              </w:rPr>
              <w:t>41%</w:t>
            </w:r>
            <w:r>
              <w:rPr>
                <w:sz w:val="14"/>
                <w:szCs w:val="14"/>
              </w:rPr>
              <w:t xml:space="preserve"> of time</w:t>
            </w:r>
          </w:p>
        </w:tc>
        <w:tc>
          <w:tcPr>
            <w:tcW w:w="897" w:type="dxa"/>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vAlign w:val="center"/>
            <w:hideMark/>
          </w:tcPr>
          <w:p w14:paraId="3033641D" w14:textId="09A09B67" w:rsidR="00034CE2" w:rsidRPr="00034CE2" w:rsidRDefault="00034CE2" w:rsidP="00034CE2">
            <w:pPr>
              <w:pStyle w:val="Tablesmalltext"/>
              <w:jc w:val="center"/>
              <w:rPr>
                <w:sz w:val="14"/>
                <w:szCs w:val="14"/>
              </w:rPr>
            </w:pPr>
            <w:r w:rsidRPr="00034CE2">
              <w:rPr>
                <w:sz w:val="14"/>
                <w:szCs w:val="14"/>
              </w:rPr>
              <w:t>45%</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E946B53" w14:textId="1474589D" w:rsidR="00034CE2" w:rsidRPr="00034CE2" w:rsidRDefault="00034CE2" w:rsidP="00034CE2">
            <w:pPr>
              <w:pStyle w:val="Tablesmalltext"/>
              <w:jc w:val="center"/>
              <w:rPr>
                <w:sz w:val="14"/>
                <w:szCs w:val="14"/>
              </w:rPr>
            </w:pPr>
            <w:r w:rsidRPr="00034CE2">
              <w:rPr>
                <w:sz w:val="14"/>
                <w:szCs w:val="14"/>
              </w:rPr>
              <w:t>57%</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5EE6313B" w14:textId="086D795F" w:rsidR="00034CE2" w:rsidRPr="00034CE2" w:rsidRDefault="00034CE2" w:rsidP="00034CE2">
            <w:pPr>
              <w:pStyle w:val="Tablesmalltext"/>
              <w:jc w:val="center"/>
              <w:rPr>
                <w:sz w:val="14"/>
                <w:szCs w:val="14"/>
              </w:rPr>
            </w:pPr>
            <w:r w:rsidRPr="00034CE2">
              <w:rPr>
                <w:sz w:val="14"/>
                <w:szCs w:val="14"/>
              </w:rPr>
              <w:t>58%</w:t>
            </w:r>
            <w:r>
              <w:rPr>
                <w:sz w:val="14"/>
                <w:szCs w:val="14"/>
              </w:rPr>
              <w:t xml:space="preserve"> of time</w:t>
            </w:r>
          </w:p>
        </w:tc>
      </w:tr>
      <w:tr w:rsidR="00034CE2" w:rsidRPr="00034CE2" w14:paraId="050A2AF7" w14:textId="77777777" w:rsidTr="002607E5">
        <w:trPr>
          <w:trHeight w:val="536"/>
        </w:trPr>
        <w:tc>
          <w:tcPr>
            <w:tcW w:w="98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291C247" w14:textId="77777777" w:rsidR="00034CE2" w:rsidRPr="00034CE2" w:rsidRDefault="00034CE2">
            <w:pPr>
              <w:spacing w:after="0" w:line="240" w:lineRule="auto"/>
              <w:rPr>
                <w:rFonts w:asciiTheme="minorHAnsi" w:hAnsiTheme="minorHAnsi" w:cstheme="minorBidi"/>
                <w:b/>
                <w:sz w:val="14"/>
                <w:szCs w:val="14"/>
              </w:rPr>
            </w:pPr>
          </w:p>
        </w:tc>
        <w:tc>
          <w:tcPr>
            <w:tcW w:w="198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CD6EEDE" w14:textId="77777777" w:rsidR="00034CE2" w:rsidRPr="00034CE2" w:rsidRDefault="00034CE2">
            <w:pPr>
              <w:spacing w:after="0" w:line="240" w:lineRule="auto"/>
              <w:rPr>
                <w:rFonts w:asciiTheme="minorHAnsi" w:hAnsiTheme="minorHAnsi" w:cstheme="minorBidi"/>
                <w:sz w:val="14"/>
                <w:szCs w:val="14"/>
              </w:rPr>
            </w:pPr>
          </w:p>
        </w:tc>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C9682A7" w14:textId="77777777" w:rsidR="00034CE2" w:rsidRPr="00034CE2" w:rsidRDefault="00034CE2" w:rsidP="002607E5">
            <w:pPr>
              <w:pStyle w:val="Tablesmalltext"/>
              <w:rPr>
                <w:b/>
                <w:sz w:val="14"/>
                <w:szCs w:val="14"/>
              </w:rPr>
            </w:pPr>
            <w:r w:rsidRPr="00034CE2">
              <w:rPr>
                <w:b/>
                <w:sz w:val="14"/>
                <w:szCs w:val="14"/>
              </w:rPr>
              <w:t>200.1-750 ML/d (high risk)</w:t>
            </w:r>
          </w:p>
        </w:tc>
        <w:tc>
          <w:tcPr>
            <w:tcW w:w="8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51F2FDD" w14:textId="40D9B422" w:rsidR="00034CE2" w:rsidRPr="00034CE2" w:rsidRDefault="00034CE2" w:rsidP="00034CE2">
            <w:pPr>
              <w:pStyle w:val="Tablesmalltext"/>
              <w:jc w:val="center"/>
              <w:rPr>
                <w:sz w:val="14"/>
                <w:szCs w:val="14"/>
              </w:rPr>
            </w:pPr>
            <w:r w:rsidRPr="00034CE2">
              <w:rPr>
                <w:sz w:val="14"/>
                <w:szCs w:val="14"/>
              </w:rPr>
              <w:t>4%</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087BFA0B" w14:textId="34DA9374" w:rsidR="00034CE2" w:rsidRPr="00034CE2" w:rsidRDefault="00034CE2" w:rsidP="00034CE2">
            <w:pPr>
              <w:pStyle w:val="Tablesmalltext"/>
              <w:jc w:val="center"/>
              <w:rPr>
                <w:sz w:val="14"/>
                <w:szCs w:val="14"/>
              </w:rPr>
            </w:pPr>
            <w:r w:rsidRPr="00034CE2">
              <w:rPr>
                <w:sz w:val="14"/>
                <w:szCs w:val="14"/>
              </w:rPr>
              <w:t>4%</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73439C9" w14:textId="0F813FBF" w:rsidR="00034CE2" w:rsidRPr="00034CE2" w:rsidRDefault="00034CE2" w:rsidP="00034CE2">
            <w:pPr>
              <w:pStyle w:val="Tablesmalltext"/>
              <w:jc w:val="center"/>
              <w:rPr>
                <w:sz w:val="14"/>
                <w:szCs w:val="14"/>
              </w:rPr>
            </w:pPr>
            <w:r w:rsidRPr="00034CE2">
              <w:rPr>
                <w:sz w:val="14"/>
                <w:szCs w:val="14"/>
              </w:rPr>
              <w:t>4%</w:t>
            </w:r>
            <w:r>
              <w:rPr>
                <w:sz w:val="14"/>
                <w:szCs w:val="14"/>
              </w:rPr>
              <w:t xml:space="preserve"> of time</w:t>
            </w:r>
          </w:p>
        </w:tc>
        <w:tc>
          <w:tcPr>
            <w:tcW w:w="897" w:type="dxa"/>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vAlign w:val="center"/>
            <w:hideMark/>
          </w:tcPr>
          <w:p w14:paraId="499999ED" w14:textId="2E80BF01" w:rsidR="00034CE2" w:rsidRPr="00034CE2" w:rsidRDefault="00034CE2" w:rsidP="00034CE2">
            <w:pPr>
              <w:pStyle w:val="Tablesmalltext"/>
              <w:jc w:val="center"/>
              <w:rPr>
                <w:sz w:val="14"/>
                <w:szCs w:val="14"/>
              </w:rPr>
            </w:pPr>
            <w:r w:rsidRPr="00034CE2">
              <w:rPr>
                <w:sz w:val="14"/>
                <w:szCs w:val="14"/>
              </w:rPr>
              <w:t>7%</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4B304FF" w14:textId="73813CAB" w:rsidR="00034CE2" w:rsidRPr="00034CE2" w:rsidRDefault="00034CE2" w:rsidP="00034CE2">
            <w:pPr>
              <w:pStyle w:val="Tablesmalltext"/>
              <w:jc w:val="center"/>
              <w:rPr>
                <w:sz w:val="14"/>
                <w:szCs w:val="14"/>
              </w:rPr>
            </w:pPr>
            <w:r w:rsidRPr="00034CE2">
              <w:rPr>
                <w:sz w:val="14"/>
                <w:szCs w:val="14"/>
              </w:rPr>
              <w:t>11%</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vAlign w:val="center"/>
            <w:hideMark/>
          </w:tcPr>
          <w:p w14:paraId="02D373B2" w14:textId="229B8AA4" w:rsidR="00034CE2" w:rsidRPr="00034CE2" w:rsidRDefault="00034CE2" w:rsidP="00034CE2">
            <w:pPr>
              <w:pStyle w:val="Tablesmalltext"/>
              <w:jc w:val="center"/>
              <w:rPr>
                <w:sz w:val="14"/>
                <w:szCs w:val="14"/>
              </w:rPr>
            </w:pPr>
            <w:r w:rsidRPr="00034CE2">
              <w:rPr>
                <w:sz w:val="14"/>
                <w:szCs w:val="14"/>
              </w:rPr>
              <w:t>15%</w:t>
            </w:r>
            <w:r>
              <w:rPr>
                <w:sz w:val="14"/>
                <w:szCs w:val="14"/>
              </w:rPr>
              <w:t xml:space="preserve"> of time</w:t>
            </w:r>
          </w:p>
        </w:tc>
      </w:tr>
      <w:tr w:rsidR="00034CE2" w:rsidRPr="00034CE2" w14:paraId="5DA18903" w14:textId="77777777" w:rsidTr="002607E5">
        <w:trPr>
          <w:trHeight w:val="536"/>
        </w:trPr>
        <w:tc>
          <w:tcPr>
            <w:tcW w:w="98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21EFB27" w14:textId="77777777" w:rsidR="00034CE2" w:rsidRPr="00034CE2" w:rsidRDefault="00034CE2">
            <w:pPr>
              <w:spacing w:after="0" w:line="240" w:lineRule="auto"/>
              <w:rPr>
                <w:rFonts w:asciiTheme="minorHAnsi" w:hAnsiTheme="minorHAnsi" w:cstheme="minorBidi"/>
                <w:b/>
                <w:sz w:val="14"/>
                <w:szCs w:val="14"/>
              </w:rPr>
            </w:pPr>
          </w:p>
        </w:tc>
        <w:tc>
          <w:tcPr>
            <w:tcW w:w="198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9960B8F" w14:textId="77777777" w:rsidR="00034CE2" w:rsidRPr="00034CE2" w:rsidRDefault="00034CE2">
            <w:pPr>
              <w:spacing w:after="0" w:line="240" w:lineRule="auto"/>
              <w:rPr>
                <w:rFonts w:asciiTheme="minorHAnsi" w:hAnsiTheme="minorHAnsi" w:cstheme="minorBidi"/>
                <w:sz w:val="14"/>
                <w:szCs w:val="14"/>
              </w:rPr>
            </w:pPr>
          </w:p>
        </w:tc>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C463600" w14:textId="77777777" w:rsidR="00034CE2" w:rsidRPr="00034CE2" w:rsidRDefault="00034CE2" w:rsidP="002607E5">
            <w:pPr>
              <w:pStyle w:val="Tablesmalltext"/>
              <w:rPr>
                <w:b/>
                <w:sz w:val="14"/>
                <w:szCs w:val="14"/>
              </w:rPr>
            </w:pPr>
            <w:r w:rsidRPr="00034CE2">
              <w:rPr>
                <w:b/>
                <w:sz w:val="14"/>
                <w:szCs w:val="14"/>
              </w:rPr>
              <w:t>&gt;750 (very high risk)</w:t>
            </w:r>
          </w:p>
        </w:tc>
        <w:tc>
          <w:tcPr>
            <w:tcW w:w="8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C92A206" w14:textId="3C190B8A" w:rsidR="00034CE2" w:rsidRPr="00034CE2" w:rsidRDefault="00034CE2" w:rsidP="00034CE2">
            <w:pPr>
              <w:pStyle w:val="Tablesmalltext"/>
              <w:jc w:val="center"/>
              <w:rPr>
                <w:sz w:val="14"/>
                <w:szCs w:val="14"/>
              </w:rPr>
            </w:pPr>
            <w:r w:rsidRPr="00034CE2">
              <w:rPr>
                <w:sz w:val="14"/>
                <w:szCs w:val="14"/>
              </w:rPr>
              <w:t>0%</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105E9C1F" w14:textId="645A4B4E" w:rsidR="00034CE2" w:rsidRPr="00034CE2" w:rsidRDefault="00034CE2" w:rsidP="00034CE2">
            <w:pPr>
              <w:pStyle w:val="Tablesmalltext"/>
              <w:jc w:val="center"/>
              <w:rPr>
                <w:sz w:val="14"/>
                <w:szCs w:val="14"/>
              </w:rPr>
            </w:pPr>
            <w:r w:rsidRPr="00034CE2">
              <w:rPr>
                <w:sz w:val="14"/>
                <w:szCs w:val="14"/>
              </w:rPr>
              <w:t>0%</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897FFDF" w14:textId="2ABD0FDB" w:rsidR="00034CE2" w:rsidRPr="00034CE2" w:rsidRDefault="00034CE2" w:rsidP="00034CE2">
            <w:pPr>
              <w:pStyle w:val="Tablesmalltext"/>
              <w:jc w:val="center"/>
              <w:rPr>
                <w:sz w:val="14"/>
                <w:szCs w:val="14"/>
              </w:rPr>
            </w:pPr>
            <w:r w:rsidRPr="00034CE2">
              <w:rPr>
                <w:sz w:val="14"/>
                <w:szCs w:val="14"/>
              </w:rPr>
              <w:t>0%</w:t>
            </w:r>
            <w:r>
              <w:rPr>
                <w:sz w:val="14"/>
                <w:szCs w:val="14"/>
              </w:rPr>
              <w:t xml:space="preserve"> of time</w:t>
            </w:r>
          </w:p>
        </w:tc>
        <w:tc>
          <w:tcPr>
            <w:tcW w:w="897" w:type="dxa"/>
            <w:tcBorders>
              <w:top w:val="single" w:sz="4"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1A3FC0BE" w14:textId="6A6C449F" w:rsidR="00034CE2" w:rsidRPr="00034CE2" w:rsidRDefault="00034CE2" w:rsidP="00034CE2">
            <w:pPr>
              <w:pStyle w:val="Tablesmalltext"/>
              <w:jc w:val="center"/>
              <w:rPr>
                <w:sz w:val="14"/>
                <w:szCs w:val="14"/>
              </w:rPr>
            </w:pPr>
            <w:r w:rsidRPr="00034CE2">
              <w:rPr>
                <w:sz w:val="14"/>
                <w:szCs w:val="14"/>
              </w:rPr>
              <w:t>1%</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AD1EB61" w14:textId="02C4297A" w:rsidR="00034CE2" w:rsidRPr="00034CE2" w:rsidRDefault="00034CE2" w:rsidP="00034CE2">
            <w:pPr>
              <w:pStyle w:val="Tablesmalltext"/>
              <w:jc w:val="center"/>
              <w:rPr>
                <w:sz w:val="14"/>
                <w:szCs w:val="14"/>
              </w:rPr>
            </w:pPr>
            <w:r w:rsidRPr="00034CE2">
              <w:rPr>
                <w:sz w:val="14"/>
                <w:szCs w:val="14"/>
              </w:rPr>
              <w:t>2%</w:t>
            </w:r>
            <w:r>
              <w:rPr>
                <w:sz w:val="14"/>
                <w:szCs w:val="14"/>
              </w:rPr>
              <w:t xml:space="preserve"> of time</w:t>
            </w:r>
          </w:p>
        </w:tc>
        <w:tc>
          <w:tcPr>
            <w:tcW w:w="898" w:type="dxa"/>
            <w:tcBorders>
              <w:top w:val="single" w:sz="4"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023F9E1E" w14:textId="4B39052B" w:rsidR="00034CE2" w:rsidRPr="00034CE2" w:rsidRDefault="00034CE2" w:rsidP="00034CE2">
            <w:pPr>
              <w:pStyle w:val="Tablesmalltext"/>
              <w:jc w:val="center"/>
              <w:rPr>
                <w:sz w:val="14"/>
                <w:szCs w:val="14"/>
              </w:rPr>
            </w:pPr>
            <w:r w:rsidRPr="00034CE2">
              <w:rPr>
                <w:sz w:val="14"/>
                <w:szCs w:val="14"/>
              </w:rPr>
              <w:t>2%</w:t>
            </w:r>
            <w:r>
              <w:rPr>
                <w:sz w:val="14"/>
                <w:szCs w:val="14"/>
              </w:rPr>
              <w:t xml:space="preserve"> of time</w:t>
            </w:r>
          </w:p>
        </w:tc>
      </w:tr>
      <w:tr w:rsidR="00034CE2" w:rsidRPr="00034CE2" w14:paraId="67EF6628" w14:textId="77777777" w:rsidTr="002607E5">
        <w:tc>
          <w:tcPr>
            <w:tcW w:w="988" w:type="dxa"/>
            <w:tcBorders>
              <w:top w:val="single" w:sz="4" w:space="0" w:color="auto"/>
              <w:left w:val="single" w:sz="4" w:space="0" w:color="auto"/>
              <w:bottom w:val="single" w:sz="4" w:space="0" w:color="auto"/>
              <w:right w:val="single" w:sz="4" w:space="0" w:color="auto"/>
            </w:tcBorders>
            <w:tcMar>
              <w:left w:w="57" w:type="dxa"/>
              <w:right w:w="57" w:type="dxa"/>
            </w:tcMar>
          </w:tcPr>
          <w:p w14:paraId="19122710" w14:textId="77777777" w:rsidR="00034CE2" w:rsidRPr="00034CE2" w:rsidRDefault="00034CE2">
            <w:pPr>
              <w:pStyle w:val="Tablesmallheading"/>
              <w:rPr>
                <w:sz w:val="14"/>
                <w:szCs w:val="14"/>
              </w:rPr>
            </w:pPr>
            <w:r w:rsidRPr="00034CE2">
              <w:rPr>
                <w:sz w:val="14"/>
                <w:szCs w:val="14"/>
              </w:rPr>
              <w:t>Bed mobilisation</w:t>
            </w:r>
          </w:p>
          <w:p w14:paraId="68715BAA" w14:textId="77777777" w:rsidR="00034CE2" w:rsidRPr="00034CE2" w:rsidRDefault="00034CE2">
            <w:pPr>
              <w:pStyle w:val="Tablesmallheading"/>
              <w:rPr>
                <w:sz w:val="14"/>
                <w:szCs w:val="14"/>
              </w:rPr>
            </w:pP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FD67434" w14:textId="77777777" w:rsidR="00034CE2" w:rsidRPr="00034CE2" w:rsidRDefault="00034CE2">
            <w:pPr>
              <w:pStyle w:val="Tablesmalltext"/>
              <w:rPr>
                <w:sz w:val="14"/>
                <w:szCs w:val="14"/>
              </w:rPr>
            </w:pPr>
            <w:r w:rsidRPr="00034CE2">
              <w:rPr>
                <w:sz w:val="14"/>
                <w:szCs w:val="14"/>
              </w:rPr>
              <w:t>Represents a natural disturbance event that transports sediment and organic material, maintains channel form, flushes riffles etc.  Metric is expressed as the fraction of time &gt; Q</w:t>
            </w:r>
            <w:r w:rsidRPr="00034CE2">
              <w:rPr>
                <w:sz w:val="14"/>
                <w:szCs w:val="14"/>
                <w:vertAlign w:val="subscript"/>
              </w:rPr>
              <w:t>2yrARI</w:t>
            </w:r>
            <w:r w:rsidRPr="00034CE2">
              <w:rPr>
                <w:sz w:val="14"/>
                <w:szCs w:val="14"/>
              </w:rPr>
              <w:t xml:space="preserve">/2 </w:t>
            </w:r>
            <w:r w:rsidRPr="00034CE2">
              <w:rPr>
                <w:sz w:val="14"/>
                <w:szCs w:val="14"/>
              </w:rPr>
              <w:fldChar w:fldCharType="begin"/>
            </w:r>
            <w:r w:rsidRPr="00034CE2">
              <w:rPr>
                <w:sz w:val="14"/>
                <w:szCs w:val="14"/>
              </w:rPr>
              <w:instrText xml:space="preserve"> ADDIN EN.CITE &lt;EndNote&gt;&lt;Cite&gt;&lt;Author&gt;Duncan&lt;/Author&gt;&lt;Year&gt;2014&lt;/Year&gt;&lt;RecNum&gt;3703&lt;/RecNum&gt;&lt;DisplayText&gt;(Duncan&lt;style face="italic"&gt; et al.&lt;/style&gt;, 2014)&lt;/DisplayText&gt;&lt;record&gt;&lt;rec-number&gt;3703&lt;/rec-number&gt;&lt;foreign-keys&gt;&lt;key app="EN" db-id="d0s2errflvze20evzxyvr9xzwfwste2v9tf2" timestamp="1575848974"&gt;3703&lt;/key&gt;&lt;/foreign-keys&gt;&lt;ref-type name="Report"&gt;27&lt;/ref-type&gt;&lt;contributors&gt;&lt;authors&gt;&lt;author&gt;Duncan, H.P.&lt;/author&gt;&lt;author&gt;Fletcher, T.D. &lt;/author&gt;&lt;author&gt;Vietz, G. &lt;/author&gt;&lt;author&gt;Urrutiaguer, M.&lt;/author&gt;&lt;/authors&gt;&lt;/contributors&gt;&lt;titles&gt;&lt;title&gt;The feasibility of maintaining ecologically and geomorphically important elements of the natural flow regime in the context of a superabundance of flow&lt;/title&gt;&lt;/titles&gt;&lt;dates&gt;&lt;year&gt;2014&lt;/year&gt;&lt;/dates&gt;&lt;publisher&gt;Melbourne Waterway Research-Practice Partnership Technical Report. 14.5&lt;/publisher&gt;&lt;urls&gt;&lt;/urls&gt;&lt;/record&gt;&lt;/Cite&gt;&lt;/EndNote&gt;</w:instrText>
            </w:r>
            <w:r w:rsidRPr="00034CE2">
              <w:rPr>
                <w:sz w:val="14"/>
                <w:szCs w:val="14"/>
              </w:rPr>
              <w:fldChar w:fldCharType="separate"/>
            </w:r>
            <w:r w:rsidRPr="00034CE2">
              <w:rPr>
                <w:noProof/>
                <w:sz w:val="14"/>
                <w:szCs w:val="14"/>
              </w:rPr>
              <w:t>(Duncan</w:t>
            </w:r>
            <w:r w:rsidRPr="00034CE2">
              <w:rPr>
                <w:i/>
                <w:noProof/>
                <w:sz w:val="14"/>
                <w:szCs w:val="14"/>
              </w:rPr>
              <w:t xml:space="preserve"> et al.</w:t>
            </w:r>
            <w:r w:rsidRPr="00034CE2">
              <w:rPr>
                <w:noProof/>
                <w:sz w:val="14"/>
                <w:szCs w:val="14"/>
              </w:rPr>
              <w:t>, 2014)</w:t>
            </w:r>
            <w:r w:rsidRPr="00034CE2">
              <w:rPr>
                <w:sz w:val="14"/>
                <w:szCs w:val="14"/>
              </w:rPr>
              <w:fldChar w:fldCharType="end"/>
            </w:r>
            <w:r w:rsidRPr="00034CE2">
              <w:rPr>
                <w:sz w:val="14"/>
                <w:szCs w:val="14"/>
              </w:rPr>
              <w:t>. Threshold is determined for the current condition and change in duration compared between current and full development</w:t>
            </w:r>
          </w:p>
        </w:tc>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34DADD" w14:textId="18B9299A" w:rsidR="00034CE2" w:rsidRPr="00034CE2" w:rsidRDefault="002607E5" w:rsidP="002607E5">
            <w:pPr>
              <w:pStyle w:val="Tablesmalltext"/>
              <w:rPr>
                <w:sz w:val="14"/>
                <w:szCs w:val="14"/>
              </w:rPr>
            </w:pPr>
            <w:r>
              <w:rPr>
                <w:sz w:val="14"/>
                <w:szCs w:val="14"/>
              </w:rPr>
              <w:t xml:space="preserve">% of time the flow exceeds </w:t>
            </w:r>
            <w:r w:rsidR="00034CE2" w:rsidRPr="00034CE2">
              <w:rPr>
                <w:sz w:val="14"/>
                <w:szCs w:val="14"/>
              </w:rPr>
              <w:t>Q</w:t>
            </w:r>
            <w:r w:rsidR="00034CE2" w:rsidRPr="00034CE2">
              <w:rPr>
                <w:sz w:val="14"/>
                <w:szCs w:val="14"/>
                <w:vertAlign w:val="subscript"/>
              </w:rPr>
              <w:t>2yrcurrentARI</w:t>
            </w:r>
            <w:r w:rsidR="00034CE2" w:rsidRPr="00034CE2">
              <w:rPr>
                <w:sz w:val="14"/>
                <w:szCs w:val="14"/>
              </w:rPr>
              <w:t>/2</w:t>
            </w:r>
          </w:p>
          <w:p w14:paraId="23BD2050" w14:textId="77777777" w:rsidR="00034CE2" w:rsidRPr="00034CE2" w:rsidRDefault="00034CE2" w:rsidP="002607E5">
            <w:pPr>
              <w:pStyle w:val="Tablesmalltext"/>
              <w:rPr>
                <w:sz w:val="14"/>
                <w:szCs w:val="14"/>
              </w:rPr>
            </w:pPr>
            <w:r w:rsidRPr="00034CE2">
              <w:rPr>
                <w:sz w:val="14"/>
                <w:szCs w:val="14"/>
              </w:rPr>
              <w:t>Cardinia Drop Structure (376 ML/d)</w:t>
            </w:r>
          </w:p>
          <w:p w14:paraId="298D503D" w14:textId="77777777" w:rsidR="00034CE2" w:rsidRPr="00034CE2" w:rsidRDefault="00034CE2" w:rsidP="002607E5">
            <w:pPr>
              <w:pStyle w:val="Tablesmalltext"/>
              <w:rPr>
                <w:sz w:val="14"/>
                <w:szCs w:val="14"/>
              </w:rPr>
            </w:pPr>
            <w:r w:rsidRPr="00034CE2">
              <w:rPr>
                <w:sz w:val="14"/>
                <w:szCs w:val="14"/>
              </w:rPr>
              <w:t>Chasemore Rd (370 ML/d)</w:t>
            </w:r>
          </w:p>
          <w:p w14:paraId="2D4C1053" w14:textId="77777777" w:rsidR="00034CE2" w:rsidRPr="00034CE2" w:rsidRDefault="00034CE2" w:rsidP="002607E5">
            <w:pPr>
              <w:pStyle w:val="Tablesmalltext"/>
              <w:rPr>
                <w:b/>
                <w:sz w:val="14"/>
                <w:szCs w:val="14"/>
              </w:rPr>
            </w:pPr>
            <w:r w:rsidRPr="00034CE2">
              <w:rPr>
                <w:sz w:val="14"/>
                <w:szCs w:val="14"/>
              </w:rPr>
              <w:t xml:space="preserve">WPB outlet (638 ML/d)  </w:t>
            </w:r>
          </w:p>
          <w:p w14:paraId="5A1B03A9" w14:textId="77777777" w:rsidR="00034CE2" w:rsidRPr="00034CE2" w:rsidRDefault="00034CE2" w:rsidP="002607E5">
            <w:pPr>
              <w:pStyle w:val="Tablesmalltext"/>
              <w:rPr>
                <w:sz w:val="14"/>
                <w:szCs w:val="14"/>
              </w:rPr>
            </w:pPr>
          </w:p>
        </w:tc>
        <w:tc>
          <w:tcPr>
            <w:tcW w:w="8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9685D7C" w14:textId="6B7CE211" w:rsidR="00034CE2" w:rsidRPr="00034CE2" w:rsidRDefault="00034CE2" w:rsidP="00034CE2">
            <w:pPr>
              <w:pStyle w:val="Tablesmalltext"/>
              <w:jc w:val="center"/>
              <w:rPr>
                <w:b/>
                <w:sz w:val="14"/>
                <w:szCs w:val="14"/>
              </w:rPr>
            </w:pPr>
            <w:r w:rsidRPr="00034CE2">
              <w:rPr>
                <w:sz w:val="14"/>
                <w:szCs w:val="14"/>
              </w:rPr>
              <w:t>1.6</w:t>
            </w:r>
            <w:r w:rsidR="002607E5" w:rsidRPr="00034CE2">
              <w:rPr>
                <w:sz w:val="14"/>
                <w:szCs w:val="14"/>
              </w:rPr>
              <w:t>%</w:t>
            </w:r>
            <w:r w:rsidR="002607E5">
              <w:rPr>
                <w:sz w:val="14"/>
                <w:szCs w:val="14"/>
              </w:rPr>
              <w:t xml:space="preserve"> </w:t>
            </w:r>
          </w:p>
        </w:tc>
        <w:tc>
          <w:tcPr>
            <w:tcW w:w="898" w:type="dxa"/>
            <w:tcBorders>
              <w:top w:val="single" w:sz="4"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13D737E4" w14:textId="228BE4E9" w:rsidR="00034CE2" w:rsidRPr="00034CE2" w:rsidRDefault="00034CE2" w:rsidP="00034CE2">
            <w:pPr>
              <w:pStyle w:val="Tablesmalltext"/>
              <w:jc w:val="center"/>
              <w:rPr>
                <w:sz w:val="14"/>
                <w:szCs w:val="14"/>
              </w:rPr>
            </w:pPr>
            <w:r w:rsidRPr="00034CE2">
              <w:rPr>
                <w:sz w:val="14"/>
                <w:szCs w:val="14"/>
              </w:rPr>
              <w:t>1.7</w:t>
            </w:r>
            <w:r w:rsidR="002607E5" w:rsidRPr="00034CE2">
              <w:rPr>
                <w:sz w:val="14"/>
                <w:szCs w:val="14"/>
              </w:rPr>
              <w:t>%</w:t>
            </w:r>
            <w:r w:rsidR="002607E5">
              <w:rPr>
                <w:sz w:val="14"/>
                <w:szCs w:val="14"/>
              </w:rPr>
              <w:t xml:space="preserve"> </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287D123" w14:textId="3B17574F" w:rsidR="00034CE2" w:rsidRPr="00034CE2" w:rsidRDefault="00034CE2" w:rsidP="00034CE2">
            <w:pPr>
              <w:pStyle w:val="Tablesmalltext"/>
              <w:jc w:val="center"/>
              <w:rPr>
                <w:sz w:val="14"/>
                <w:szCs w:val="14"/>
              </w:rPr>
            </w:pPr>
            <w:r w:rsidRPr="00034CE2">
              <w:rPr>
                <w:sz w:val="14"/>
                <w:szCs w:val="14"/>
              </w:rPr>
              <w:t>1.8</w:t>
            </w:r>
            <w:r w:rsidR="002607E5" w:rsidRPr="00034CE2">
              <w:rPr>
                <w:sz w:val="14"/>
                <w:szCs w:val="14"/>
              </w:rPr>
              <w:t>%</w:t>
            </w:r>
            <w:r w:rsidR="002607E5">
              <w:rPr>
                <w:sz w:val="14"/>
                <w:szCs w:val="14"/>
              </w:rPr>
              <w:t xml:space="preserve"> </w:t>
            </w:r>
          </w:p>
        </w:tc>
        <w:tc>
          <w:tcPr>
            <w:tcW w:w="897" w:type="dxa"/>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vAlign w:val="center"/>
            <w:hideMark/>
          </w:tcPr>
          <w:p w14:paraId="6F6F051A" w14:textId="51B1BF18" w:rsidR="00034CE2" w:rsidRPr="00034CE2" w:rsidRDefault="00034CE2" w:rsidP="00034CE2">
            <w:pPr>
              <w:pStyle w:val="Tablesmalltext"/>
              <w:jc w:val="center"/>
              <w:rPr>
                <w:sz w:val="14"/>
                <w:szCs w:val="14"/>
              </w:rPr>
            </w:pPr>
            <w:r w:rsidRPr="00034CE2">
              <w:rPr>
                <w:sz w:val="14"/>
                <w:szCs w:val="14"/>
              </w:rPr>
              <w:t>3</w:t>
            </w:r>
            <w:r w:rsidR="002607E5" w:rsidRPr="00034CE2">
              <w:rPr>
                <w:sz w:val="14"/>
                <w:szCs w:val="14"/>
              </w:rPr>
              <w:t>%</w:t>
            </w:r>
            <w:r w:rsidR="002607E5">
              <w:rPr>
                <w:sz w:val="14"/>
                <w:szCs w:val="14"/>
              </w:rPr>
              <w:t xml:space="preserve"> </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123AB09" w14:textId="0BFAA3C0" w:rsidR="00034CE2" w:rsidRPr="00034CE2" w:rsidRDefault="00034CE2" w:rsidP="00034CE2">
            <w:pPr>
              <w:pStyle w:val="Tablesmalltext"/>
              <w:jc w:val="center"/>
              <w:rPr>
                <w:sz w:val="14"/>
                <w:szCs w:val="14"/>
              </w:rPr>
            </w:pPr>
            <w:r w:rsidRPr="00034CE2">
              <w:rPr>
                <w:sz w:val="14"/>
                <w:szCs w:val="14"/>
              </w:rPr>
              <w:t>2.1</w:t>
            </w:r>
            <w:r w:rsidR="002607E5" w:rsidRPr="00034CE2">
              <w:rPr>
                <w:sz w:val="14"/>
                <w:szCs w:val="14"/>
              </w:rPr>
              <w:t>%</w:t>
            </w:r>
            <w:r w:rsidR="002607E5">
              <w:rPr>
                <w:sz w:val="14"/>
                <w:szCs w:val="14"/>
              </w:rPr>
              <w:t xml:space="preserve"> </w:t>
            </w:r>
          </w:p>
        </w:tc>
        <w:tc>
          <w:tcPr>
            <w:tcW w:w="898" w:type="dxa"/>
            <w:tcBorders>
              <w:top w:val="single" w:sz="4"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20654406" w14:textId="1EFD5AC5" w:rsidR="00034CE2" w:rsidRPr="00034CE2" w:rsidRDefault="00034CE2" w:rsidP="00034CE2">
            <w:pPr>
              <w:pStyle w:val="Tablesmalltext"/>
              <w:jc w:val="center"/>
              <w:rPr>
                <w:sz w:val="14"/>
                <w:szCs w:val="14"/>
              </w:rPr>
            </w:pPr>
            <w:r w:rsidRPr="00034CE2">
              <w:rPr>
                <w:sz w:val="14"/>
                <w:szCs w:val="14"/>
              </w:rPr>
              <w:t>2.7</w:t>
            </w:r>
            <w:r w:rsidR="002607E5" w:rsidRPr="00034CE2">
              <w:rPr>
                <w:sz w:val="14"/>
                <w:szCs w:val="14"/>
              </w:rPr>
              <w:t>%</w:t>
            </w:r>
            <w:r w:rsidR="002607E5">
              <w:rPr>
                <w:sz w:val="14"/>
                <w:szCs w:val="14"/>
              </w:rPr>
              <w:t xml:space="preserve"> </w:t>
            </w:r>
          </w:p>
        </w:tc>
      </w:tr>
      <w:tr w:rsidR="00034CE2" w:rsidRPr="00034CE2" w14:paraId="6AD74DC0" w14:textId="77777777" w:rsidTr="002607E5">
        <w:tc>
          <w:tcPr>
            <w:tcW w:w="98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62EED69" w14:textId="77777777" w:rsidR="00034CE2" w:rsidRPr="00034CE2" w:rsidRDefault="00034CE2">
            <w:pPr>
              <w:pStyle w:val="Tablesmallheading"/>
              <w:rPr>
                <w:sz w:val="14"/>
                <w:szCs w:val="14"/>
              </w:rPr>
            </w:pPr>
            <w:r w:rsidRPr="00034CE2">
              <w:rPr>
                <w:sz w:val="14"/>
                <w:szCs w:val="14"/>
              </w:rPr>
              <w:t>Variation in daily flow</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156D007" w14:textId="77777777" w:rsidR="00034CE2" w:rsidRPr="00034CE2" w:rsidRDefault="00034CE2">
            <w:pPr>
              <w:pStyle w:val="Tablesmalltext"/>
              <w:rPr>
                <w:sz w:val="14"/>
                <w:szCs w:val="14"/>
              </w:rPr>
            </w:pPr>
            <w:r w:rsidRPr="00034CE2">
              <w:rPr>
                <w:sz w:val="14"/>
                <w:szCs w:val="14"/>
              </w:rPr>
              <w:t xml:space="preserve">Large variations in day to day (and within day) flows (i.e. flashy flows) create excessive disturbance that impact on the ability of biota to persist in highly variable habitats.  Highly variable flows can also result in bank slumping. </w:t>
            </w:r>
          </w:p>
        </w:tc>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A77722F" w14:textId="77777777" w:rsidR="00034CE2" w:rsidRPr="00034CE2" w:rsidRDefault="00034CE2" w:rsidP="002607E5">
            <w:pPr>
              <w:pStyle w:val="Tablesmalltext"/>
              <w:rPr>
                <w:sz w:val="14"/>
                <w:szCs w:val="14"/>
              </w:rPr>
            </w:pPr>
            <w:r w:rsidRPr="00034CE2">
              <w:rPr>
                <w:sz w:val="14"/>
                <w:szCs w:val="14"/>
              </w:rPr>
              <w:t>Full development compared to current, a larger number means a higher flow variation</w:t>
            </w:r>
          </w:p>
        </w:tc>
        <w:tc>
          <w:tcPr>
            <w:tcW w:w="8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3646685" w14:textId="77777777" w:rsidR="00034CE2" w:rsidRPr="00034CE2" w:rsidRDefault="00034CE2" w:rsidP="00034CE2">
            <w:pPr>
              <w:pStyle w:val="Tablesmalltext"/>
              <w:jc w:val="center"/>
              <w:rPr>
                <w:sz w:val="14"/>
                <w:szCs w:val="14"/>
              </w:rPr>
            </w:pPr>
            <w:r w:rsidRPr="00034CE2">
              <w:rPr>
                <w:sz w:val="14"/>
                <w:szCs w:val="14"/>
              </w:rPr>
              <w:t>117.6</w:t>
            </w:r>
          </w:p>
        </w:tc>
        <w:tc>
          <w:tcPr>
            <w:tcW w:w="898" w:type="dxa"/>
            <w:tcBorders>
              <w:top w:val="single" w:sz="4"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3DBDAFF1" w14:textId="77777777" w:rsidR="00034CE2" w:rsidRPr="00034CE2" w:rsidRDefault="00034CE2" w:rsidP="00034CE2">
            <w:pPr>
              <w:pStyle w:val="Tablesmalltext"/>
              <w:jc w:val="center"/>
              <w:rPr>
                <w:sz w:val="14"/>
                <w:szCs w:val="14"/>
              </w:rPr>
            </w:pPr>
            <w:r w:rsidRPr="00034CE2">
              <w:rPr>
                <w:sz w:val="14"/>
                <w:szCs w:val="14"/>
              </w:rPr>
              <w:t>109.2</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1139029" w14:textId="77777777" w:rsidR="00034CE2" w:rsidRPr="00034CE2" w:rsidRDefault="00034CE2" w:rsidP="00034CE2">
            <w:pPr>
              <w:pStyle w:val="Tablesmalltext"/>
              <w:jc w:val="center"/>
              <w:rPr>
                <w:sz w:val="14"/>
                <w:szCs w:val="14"/>
              </w:rPr>
            </w:pPr>
            <w:r w:rsidRPr="00034CE2">
              <w:rPr>
                <w:sz w:val="14"/>
                <w:szCs w:val="14"/>
              </w:rPr>
              <w:t>108.5</w:t>
            </w:r>
          </w:p>
        </w:tc>
        <w:tc>
          <w:tcPr>
            <w:tcW w:w="897" w:type="dxa"/>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vAlign w:val="center"/>
            <w:hideMark/>
          </w:tcPr>
          <w:p w14:paraId="568E460A" w14:textId="77777777" w:rsidR="00034CE2" w:rsidRPr="00034CE2" w:rsidRDefault="00034CE2" w:rsidP="00034CE2">
            <w:pPr>
              <w:pStyle w:val="Tablesmalltext"/>
              <w:jc w:val="center"/>
              <w:rPr>
                <w:sz w:val="14"/>
                <w:szCs w:val="14"/>
              </w:rPr>
            </w:pPr>
            <w:r w:rsidRPr="00034CE2">
              <w:rPr>
                <w:sz w:val="14"/>
                <w:szCs w:val="14"/>
              </w:rPr>
              <w:t>137.6</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B21E2F9" w14:textId="77777777" w:rsidR="00034CE2" w:rsidRPr="00034CE2" w:rsidRDefault="00034CE2" w:rsidP="00034CE2">
            <w:pPr>
              <w:pStyle w:val="Tablesmalltext"/>
              <w:jc w:val="center"/>
              <w:rPr>
                <w:sz w:val="14"/>
                <w:szCs w:val="14"/>
              </w:rPr>
            </w:pPr>
            <w:r w:rsidRPr="00034CE2">
              <w:rPr>
                <w:sz w:val="14"/>
                <w:szCs w:val="14"/>
              </w:rPr>
              <w:t>86.3</w:t>
            </w:r>
          </w:p>
        </w:tc>
        <w:tc>
          <w:tcPr>
            <w:tcW w:w="898" w:type="dxa"/>
            <w:tcBorders>
              <w:top w:val="single" w:sz="4"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4E0D2F2A" w14:textId="77777777" w:rsidR="00034CE2" w:rsidRPr="00034CE2" w:rsidRDefault="00034CE2" w:rsidP="00034CE2">
            <w:pPr>
              <w:pStyle w:val="Tablesmalltext"/>
              <w:jc w:val="center"/>
              <w:rPr>
                <w:sz w:val="14"/>
                <w:szCs w:val="14"/>
              </w:rPr>
            </w:pPr>
            <w:r w:rsidRPr="00034CE2">
              <w:rPr>
                <w:sz w:val="14"/>
                <w:szCs w:val="14"/>
              </w:rPr>
              <w:t>97.2</w:t>
            </w:r>
          </w:p>
        </w:tc>
      </w:tr>
      <w:tr w:rsidR="00034CE2" w:rsidRPr="00034CE2" w14:paraId="5EA3788F" w14:textId="77777777" w:rsidTr="002607E5">
        <w:trPr>
          <w:trHeight w:val="1408"/>
        </w:trPr>
        <w:tc>
          <w:tcPr>
            <w:tcW w:w="988" w:type="dxa"/>
            <w:vMerge w:val="restart"/>
            <w:tcBorders>
              <w:top w:val="single" w:sz="4" w:space="0" w:color="auto"/>
              <w:left w:val="single" w:sz="4" w:space="0" w:color="auto"/>
              <w:bottom w:val="single" w:sz="4" w:space="0" w:color="auto"/>
              <w:right w:val="single" w:sz="4" w:space="0" w:color="auto"/>
            </w:tcBorders>
            <w:tcMar>
              <w:left w:w="57" w:type="dxa"/>
              <w:right w:w="57" w:type="dxa"/>
            </w:tcMar>
            <w:hideMark/>
          </w:tcPr>
          <w:p w14:paraId="60CEA361" w14:textId="77777777" w:rsidR="00034CE2" w:rsidRPr="00034CE2" w:rsidRDefault="00034CE2">
            <w:pPr>
              <w:pStyle w:val="Tablesmallheading"/>
              <w:rPr>
                <w:sz w:val="14"/>
                <w:szCs w:val="14"/>
              </w:rPr>
            </w:pPr>
            <w:r w:rsidRPr="00034CE2">
              <w:rPr>
                <w:sz w:val="14"/>
                <w:szCs w:val="14"/>
              </w:rPr>
              <w:t>High flow frequency and duration</w:t>
            </w:r>
          </w:p>
        </w:tc>
        <w:tc>
          <w:tcPr>
            <w:tcW w:w="1984" w:type="dxa"/>
            <w:vMerge w:val="restart"/>
            <w:tcBorders>
              <w:top w:val="single" w:sz="4" w:space="0" w:color="auto"/>
              <w:left w:val="single" w:sz="4" w:space="0" w:color="auto"/>
              <w:bottom w:val="single" w:sz="4" w:space="0" w:color="auto"/>
              <w:right w:val="single" w:sz="4" w:space="0" w:color="auto"/>
            </w:tcBorders>
            <w:tcMar>
              <w:left w:w="57" w:type="dxa"/>
              <w:right w:w="57" w:type="dxa"/>
            </w:tcMar>
            <w:hideMark/>
          </w:tcPr>
          <w:p w14:paraId="725E97FA" w14:textId="77777777" w:rsidR="00034CE2" w:rsidRPr="00034CE2" w:rsidRDefault="00034CE2">
            <w:pPr>
              <w:pStyle w:val="Tablesmalltext"/>
              <w:rPr>
                <w:sz w:val="14"/>
                <w:szCs w:val="14"/>
              </w:rPr>
            </w:pPr>
            <w:r w:rsidRPr="00034CE2">
              <w:rPr>
                <w:sz w:val="14"/>
                <w:szCs w:val="14"/>
              </w:rPr>
              <w:t xml:space="preserve">Similar to the bed mobilisation metric but is based on the number of times and the duration that a high flow threshold is exceeded.  The high flow frequency metric is typically defined as the number of events per year greater than 3 times the median flow and the high flow duration is the fraction of days that daily mean flow is greater than the annual mean flow </w:t>
            </w:r>
            <w:r w:rsidRPr="00034CE2">
              <w:rPr>
                <w:sz w:val="14"/>
                <w:szCs w:val="14"/>
              </w:rPr>
              <w:fldChar w:fldCharType="begin"/>
            </w:r>
            <w:r w:rsidRPr="00034CE2">
              <w:rPr>
                <w:sz w:val="14"/>
                <w:szCs w:val="14"/>
              </w:rPr>
              <w:instrText xml:space="preserve"> ADDIN EN.CITE &lt;EndNote&gt;&lt;Cite&gt;&lt;Author&gt;Duncan&lt;/Author&gt;&lt;Year&gt;2014&lt;/Year&gt;&lt;RecNum&gt;3703&lt;/RecNum&gt;&lt;DisplayText&gt;(Duncan&lt;style face="italic"&gt; et al.&lt;/style&gt;, 2014)&lt;/DisplayText&gt;&lt;record&gt;&lt;rec-number&gt;3703&lt;/rec-number&gt;&lt;foreign-keys&gt;&lt;key app="EN" db-id="d0s2errflvze20evzxyvr9xzwfwste2v9tf2" timestamp="1575848974"&gt;3703&lt;/key&gt;&lt;/foreign-keys&gt;&lt;ref-type name="Report"&gt;27&lt;/ref-type&gt;&lt;contributors&gt;&lt;authors&gt;&lt;author&gt;Duncan, H.P.&lt;/author&gt;&lt;author&gt;Fletcher, T.D. &lt;/author&gt;&lt;author&gt;Vietz, G. &lt;/author&gt;&lt;author&gt;Urrutiaguer, M.&lt;/author&gt;&lt;/authors&gt;&lt;/contributors&gt;&lt;titles&gt;&lt;title&gt;The feasibility of maintaining ecologically and geomorphically important elements of the natural flow regime in the context of a superabundance of flow&lt;/title&gt;&lt;/titles&gt;&lt;dates&gt;&lt;year&gt;2014&lt;/year&gt;&lt;/dates&gt;&lt;publisher&gt;Melbourne Waterway Research-Practice Partnership Technical Report. 14.5&lt;/publisher&gt;&lt;urls&gt;&lt;/urls&gt;&lt;/record&gt;&lt;/Cite&gt;&lt;/EndNote&gt;</w:instrText>
            </w:r>
            <w:r w:rsidRPr="00034CE2">
              <w:rPr>
                <w:sz w:val="14"/>
                <w:szCs w:val="14"/>
              </w:rPr>
              <w:fldChar w:fldCharType="separate"/>
            </w:r>
            <w:r w:rsidRPr="00034CE2">
              <w:rPr>
                <w:noProof/>
                <w:sz w:val="14"/>
                <w:szCs w:val="14"/>
              </w:rPr>
              <w:t>(Duncan</w:t>
            </w:r>
            <w:r w:rsidRPr="00034CE2">
              <w:rPr>
                <w:i/>
                <w:noProof/>
                <w:sz w:val="14"/>
                <w:szCs w:val="14"/>
              </w:rPr>
              <w:t xml:space="preserve"> et al.</w:t>
            </w:r>
            <w:r w:rsidRPr="00034CE2">
              <w:rPr>
                <w:noProof/>
                <w:sz w:val="14"/>
                <w:szCs w:val="14"/>
              </w:rPr>
              <w:t>, 2014)</w:t>
            </w:r>
            <w:r w:rsidRPr="00034CE2">
              <w:rPr>
                <w:sz w:val="14"/>
                <w:szCs w:val="14"/>
              </w:rPr>
              <w:fldChar w:fldCharType="end"/>
            </w:r>
            <w:r w:rsidRPr="00034CE2">
              <w:rPr>
                <w:sz w:val="14"/>
                <w:szCs w:val="14"/>
              </w:rPr>
              <w:t>.</w:t>
            </w:r>
          </w:p>
        </w:tc>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1F9468F" w14:textId="77777777" w:rsidR="00034CE2" w:rsidRPr="00034CE2" w:rsidRDefault="00034CE2" w:rsidP="002607E5">
            <w:pPr>
              <w:pStyle w:val="Tablesmalltext"/>
              <w:rPr>
                <w:b/>
                <w:sz w:val="14"/>
                <w:szCs w:val="14"/>
              </w:rPr>
            </w:pPr>
            <w:r w:rsidRPr="00034CE2">
              <w:rPr>
                <w:b/>
                <w:sz w:val="14"/>
                <w:szCs w:val="14"/>
              </w:rPr>
              <w:t>High flow frequency</w:t>
            </w:r>
          </w:p>
          <w:p w14:paraId="4314B5CA" w14:textId="7309ABAD" w:rsidR="00034CE2" w:rsidRPr="00034CE2" w:rsidRDefault="002607E5" w:rsidP="002607E5">
            <w:pPr>
              <w:pStyle w:val="Tablesmalltext"/>
              <w:rPr>
                <w:sz w:val="14"/>
                <w:szCs w:val="14"/>
              </w:rPr>
            </w:pPr>
            <w:r>
              <w:rPr>
                <w:sz w:val="14"/>
                <w:szCs w:val="14"/>
              </w:rPr>
              <w:t>Number of</w:t>
            </w:r>
            <w:r w:rsidR="00034CE2" w:rsidRPr="00034CE2">
              <w:rPr>
                <w:sz w:val="14"/>
                <w:szCs w:val="14"/>
              </w:rPr>
              <w:t xml:space="preserve"> events that exceed 3x the median flow</w:t>
            </w:r>
          </w:p>
          <w:p w14:paraId="0C8ED80F" w14:textId="77777777" w:rsidR="00034CE2" w:rsidRPr="00034CE2" w:rsidRDefault="00034CE2" w:rsidP="002607E5">
            <w:pPr>
              <w:pStyle w:val="Tablesmalltext"/>
              <w:rPr>
                <w:sz w:val="14"/>
                <w:szCs w:val="14"/>
              </w:rPr>
            </w:pPr>
            <w:r w:rsidRPr="00034CE2">
              <w:rPr>
                <w:sz w:val="14"/>
                <w:szCs w:val="14"/>
              </w:rPr>
              <w:t>Cardinia drop structure (66 ML/d)</w:t>
            </w:r>
          </w:p>
          <w:p w14:paraId="5F036A79" w14:textId="77777777" w:rsidR="00034CE2" w:rsidRPr="00034CE2" w:rsidRDefault="00034CE2" w:rsidP="002607E5">
            <w:pPr>
              <w:pStyle w:val="Tablesmalltext"/>
              <w:rPr>
                <w:sz w:val="14"/>
                <w:szCs w:val="14"/>
              </w:rPr>
            </w:pPr>
            <w:r w:rsidRPr="00034CE2">
              <w:rPr>
                <w:sz w:val="14"/>
                <w:szCs w:val="14"/>
              </w:rPr>
              <w:t>Chasemore Rd (79.4 ML/d)</w:t>
            </w:r>
          </w:p>
          <w:p w14:paraId="2118988C" w14:textId="77777777" w:rsidR="00034CE2" w:rsidRPr="00034CE2" w:rsidRDefault="00034CE2" w:rsidP="002607E5">
            <w:pPr>
              <w:pStyle w:val="Tablesmalltext"/>
              <w:rPr>
                <w:sz w:val="14"/>
                <w:szCs w:val="14"/>
              </w:rPr>
            </w:pPr>
            <w:r w:rsidRPr="00034CE2">
              <w:rPr>
                <w:sz w:val="14"/>
                <w:szCs w:val="14"/>
              </w:rPr>
              <w:t>WPB outlet (173 ML/d)</w:t>
            </w:r>
          </w:p>
        </w:tc>
        <w:tc>
          <w:tcPr>
            <w:tcW w:w="8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7A0FE9D" w14:textId="77777777" w:rsidR="00034CE2" w:rsidRPr="00034CE2" w:rsidRDefault="00034CE2" w:rsidP="00034CE2">
            <w:pPr>
              <w:pStyle w:val="Tablesmalltext"/>
              <w:jc w:val="center"/>
              <w:rPr>
                <w:sz w:val="14"/>
                <w:szCs w:val="14"/>
              </w:rPr>
            </w:pPr>
            <w:r w:rsidRPr="00034CE2">
              <w:rPr>
                <w:sz w:val="14"/>
                <w:szCs w:val="14"/>
              </w:rPr>
              <w:t>8</w:t>
            </w:r>
          </w:p>
        </w:tc>
        <w:tc>
          <w:tcPr>
            <w:tcW w:w="898" w:type="dxa"/>
            <w:tcBorders>
              <w:top w:val="single" w:sz="4"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06549904" w14:textId="77777777" w:rsidR="00034CE2" w:rsidRPr="00034CE2" w:rsidRDefault="00034CE2" w:rsidP="00034CE2">
            <w:pPr>
              <w:pStyle w:val="Tablesmalltext"/>
              <w:jc w:val="center"/>
              <w:rPr>
                <w:sz w:val="14"/>
                <w:szCs w:val="14"/>
              </w:rPr>
            </w:pPr>
            <w:r w:rsidRPr="00034CE2">
              <w:rPr>
                <w:sz w:val="14"/>
                <w:szCs w:val="14"/>
              </w:rPr>
              <w:t>9</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67EE8F8" w14:textId="77777777" w:rsidR="00034CE2" w:rsidRPr="00034CE2" w:rsidRDefault="00034CE2" w:rsidP="00034CE2">
            <w:pPr>
              <w:pStyle w:val="Tablesmalltext"/>
              <w:jc w:val="center"/>
              <w:rPr>
                <w:sz w:val="14"/>
                <w:szCs w:val="14"/>
              </w:rPr>
            </w:pPr>
            <w:r w:rsidRPr="00034CE2">
              <w:rPr>
                <w:sz w:val="14"/>
                <w:szCs w:val="14"/>
              </w:rPr>
              <w:t>8</w:t>
            </w:r>
          </w:p>
        </w:tc>
        <w:tc>
          <w:tcPr>
            <w:tcW w:w="897" w:type="dxa"/>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vAlign w:val="center"/>
            <w:hideMark/>
          </w:tcPr>
          <w:p w14:paraId="7DBC6CF9" w14:textId="77777777" w:rsidR="00034CE2" w:rsidRPr="00034CE2" w:rsidRDefault="00034CE2" w:rsidP="00034CE2">
            <w:pPr>
              <w:pStyle w:val="Tablesmalltext"/>
              <w:jc w:val="center"/>
              <w:rPr>
                <w:sz w:val="14"/>
                <w:szCs w:val="14"/>
              </w:rPr>
            </w:pPr>
            <w:r w:rsidRPr="00034CE2">
              <w:rPr>
                <w:sz w:val="14"/>
                <w:szCs w:val="14"/>
              </w:rPr>
              <w:t>11</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0AD8877" w14:textId="77777777" w:rsidR="00034CE2" w:rsidRPr="00034CE2" w:rsidRDefault="00034CE2" w:rsidP="00034CE2">
            <w:pPr>
              <w:pStyle w:val="Tablesmalltext"/>
              <w:jc w:val="center"/>
              <w:rPr>
                <w:sz w:val="14"/>
                <w:szCs w:val="14"/>
              </w:rPr>
            </w:pPr>
            <w:r w:rsidRPr="00034CE2">
              <w:rPr>
                <w:sz w:val="14"/>
                <w:szCs w:val="14"/>
              </w:rPr>
              <w:t>7</w:t>
            </w:r>
          </w:p>
        </w:tc>
        <w:tc>
          <w:tcPr>
            <w:tcW w:w="898" w:type="dxa"/>
            <w:tcBorders>
              <w:top w:val="single" w:sz="4"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5C590862" w14:textId="77777777" w:rsidR="00034CE2" w:rsidRPr="00034CE2" w:rsidRDefault="00034CE2" w:rsidP="00034CE2">
            <w:pPr>
              <w:pStyle w:val="Tablesmalltext"/>
              <w:jc w:val="center"/>
              <w:rPr>
                <w:sz w:val="14"/>
                <w:szCs w:val="14"/>
              </w:rPr>
            </w:pPr>
            <w:r w:rsidRPr="00034CE2">
              <w:rPr>
                <w:sz w:val="14"/>
                <w:szCs w:val="14"/>
              </w:rPr>
              <w:t>8</w:t>
            </w:r>
          </w:p>
        </w:tc>
      </w:tr>
      <w:tr w:rsidR="00034CE2" w:rsidRPr="00034CE2" w14:paraId="26BB2E6E" w14:textId="77777777" w:rsidTr="002607E5">
        <w:trPr>
          <w:trHeight w:val="1449"/>
        </w:trPr>
        <w:tc>
          <w:tcPr>
            <w:tcW w:w="98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054E170" w14:textId="77777777" w:rsidR="00034CE2" w:rsidRPr="00034CE2" w:rsidRDefault="00034CE2">
            <w:pPr>
              <w:spacing w:after="0" w:line="240" w:lineRule="auto"/>
              <w:rPr>
                <w:rFonts w:asciiTheme="minorHAnsi" w:hAnsiTheme="minorHAnsi" w:cstheme="minorBidi"/>
                <w:b/>
                <w:sz w:val="14"/>
                <w:szCs w:val="14"/>
              </w:rPr>
            </w:pPr>
          </w:p>
        </w:tc>
        <w:tc>
          <w:tcPr>
            <w:tcW w:w="198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3595736" w14:textId="77777777" w:rsidR="00034CE2" w:rsidRPr="00034CE2" w:rsidRDefault="00034CE2">
            <w:pPr>
              <w:spacing w:after="0" w:line="240" w:lineRule="auto"/>
              <w:rPr>
                <w:rFonts w:asciiTheme="minorHAnsi" w:hAnsiTheme="minorHAnsi" w:cstheme="minorBidi"/>
                <w:sz w:val="14"/>
                <w:szCs w:val="14"/>
              </w:rPr>
            </w:pPr>
          </w:p>
        </w:tc>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5737E11" w14:textId="77777777" w:rsidR="00034CE2" w:rsidRPr="00034CE2" w:rsidRDefault="00034CE2" w:rsidP="002607E5">
            <w:pPr>
              <w:pStyle w:val="Tablesmalltext"/>
              <w:rPr>
                <w:b/>
                <w:sz w:val="14"/>
                <w:szCs w:val="14"/>
              </w:rPr>
            </w:pPr>
            <w:r w:rsidRPr="00034CE2">
              <w:rPr>
                <w:b/>
                <w:sz w:val="14"/>
                <w:szCs w:val="14"/>
              </w:rPr>
              <w:t>High flow duration</w:t>
            </w:r>
          </w:p>
          <w:p w14:paraId="1AB84F02" w14:textId="77777777" w:rsidR="00034CE2" w:rsidRPr="00034CE2" w:rsidRDefault="00034CE2" w:rsidP="002607E5">
            <w:pPr>
              <w:pStyle w:val="Tablesmalltext"/>
              <w:rPr>
                <w:sz w:val="14"/>
                <w:szCs w:val="14"/>
              </w:rPr>
            </w:pPr>
            <w:r w:rsidRPr="00034CE2">
              <w:rPr>
                <w:sz w:val="14"/>
                <w:szCs w:val="14"/>
              </w:rPr>
              <w:t>% of days flows is &gt; annual mean flow</w:t>
            </w:r>
          </w:p>
          <w:p w14:paraId="2BBBCABB" w14:textId="77777777" w:rsidR="00034CE2" w:rsidRPr="00034CE2" w:rsidRDefault="00034CE2" w:rsidP="002607E5">
            <w:pPr>
              <w:pStyle w:val="Tablesmalltext"/>
              <w:rPr>
                <w:sz w:val="14"/>
                <w:szCs w:val="14"/>
              </w:rPr>
            </w:pPr>
            <w:r w:rsidRPr="00034CE2">
              <w:rPr>
                <w:sz w:val="14"/>
                <w:szCs w:val="14"/>
              </w:rPr>
              <w:t>Cardinia drop structure (46 ML/d)</w:t>
            </w:r>
          </w:p>
          <w:p w14:paraId="5E5D3AF4" w14:textId="77777777" w:rsidR="00034CE2" w:rsidRPr="00034CE2" w:rsidRDefault="00034CE2" w:rsidP="002607E5">
            <w:pPr>
              <w:pStyle w:val="Tablesmalltext"/>
              <w:rPr>
                <w:sz w:val="14"/>
                <w:szCs w:val="14"/>
              </w:rPr>
            </w:pPr>
            <w:r w:rsidRPr="00034CE2">
              <w:rPr>
                <w:sz w:val="14"/>
                <w:szCs w:val="14"/>
              </w:rPr>
              <w:t>Chasemore Rd (52 ML/d)</w:t>
            </w:r>
          </w:p>
          <w:p w14:paraId="39AB865F" w14:textId="77777777" w:rsidR="00034CE2" w:rsidRPr="00034CE2" w:rsidRDefault="00034CE2" w:rsidP="002607E5">
            <w:pPr>
              <w:pStyle w:val="Tablesmalltext"/>
              <w:rPr>
                <w:sz w:val="14"/>
                <w:szCs w:val="14"/>
              </w:rPr>
            </w:pPr>
            <w:r w:rsidRPr="00034CE2">
              <w:rPr>
                <w:sz w:val="14"/>
                <w:szCs w:val="14"/>
              </w:rPr>
              <w:t>WPB outlet (107 ML/d)</w:t>
            </w:r>
          </w:p>
        </w:tc>
        <w:tc>
          <w:tcPr>
            <w:tcW w:w="89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44EBB4A" w14:textId="77777777" w:rsidR="00034CE2" w:rsidRPr="00034CE2" w:rsidRDefault="00034CE2" w:rsidP="00034CE2">
            <w:pPr>
              <w:pStyle w:val="Tablesmalltext"/>
              <w:jc w:val="center"/>
              <w:rPr>
                <w:sz w:val="14"/>
                <w:szCs w:val="14"/>
              </w:rPr>
            </w:pPr>
            <w:r w:rsidRPr="00034CE2">
              <w:rPr>
                <w:sz w:val="14"/>
                <w:szCs w:val="14"/>
              </w:rPr>
              <w:t>25%</w:t>
            </w:r>
          </w:p>
        </w:tc>
        <w:tc>
          <w:tcPr>
            <w:tcW w:w="898" w:type="dxa"/>
            <w:tcBorders>
              <w:top w:val="single" w:sz="4"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5B73B204" w14:textId="77777777" w:rsidR="00034CE2" w:rsidRPr="00034CE2" w:rsidRDefault="00034CE2" w:rsidP="00034CE2">
            <w:pPr>
              <w:pStyle w:val="Tablesmalltext"/>
              <w:jc w:val="center"/>
              <w:rPr>
                <w:sz w:val="14"/>
                <w:szCs w:val="14"/>
              </w:rPr>
            </w:pPr>
            <w:r w:rsidRPr="00034CE2">
              <w:rPr>
                <w:sz w:val="14"/>
                <w:szCs w:val="14"/>
              </w:rPr>
              <w:t>27%</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0811CC6" w14:textId="77777777" w:rsidR="00034CE2" w:rsidRPr="00034CE2" w:rsidRDefault="00034CE2" w:rsidP="00034CE2">
            <w:pPr>
              <w:pStyle w:val="Tablesmalltext"/>
              <w:jc w:val="center"/>
              <w:rPr>
                <w:sz w:val="14"/>
                <w:szCs w:val="14"/>
              </w:rPr>
            </w:pPr>
            <w:r w:rsidRPr="00034CE2">
              <w:rPr>
                <w:sz w:val="14"/>
                <w:szCs w:val="14"/>
              </w:rPr>
              <w:t>26%</w:t>
            </w:r>
          </w:p>
        </w:tc>
        <w:tc>
          <w:tcPr>
            <w:tcW w:w="897" w:type="dxa"/>
            <w:tcBorders>
              <w:top w:val="single" w:sz="4" w:space="0" w:color="auto"/>
              <w:left w:val="single" w:sz="4" w:space="0" w:color="auto"/>
              <w:bottom w:val="single" w:sz="4" w:space="0" w:color="auto"/>
              <w:right w:val="single" w:sz="4" w:space="0" w:color="auto"/>
            </w:tcBorders>
            <w:shd w:val="clear" w:color="auto" w:fill="FF0000"/>
            <w:tcMar>
              <w:left w:w="57" w:type="dxa"/>
              <w:right w:w="57" w:type="dxa"/>
            </w:tcMar>
            <w:vAlign w:val="center"/>
            <w:hideMark/>
          </w:tcPr>
          <w:p w14:paraId="743978D2" w14:textId="77777777" w:rsidR="00034CE2" w:rsidRPr="00034CE2" w:rsidRDefault="00034CE2" w:rsidP="00034CE2">
            <w:pPr>
              <w:pStyle w:val="Tablesmalltext"/>
              <w:jc w:val="center"/>
              <w:rPr>
                <w:sz w:val="14"/>
                <w:szCs w:val="14"/>
              </w:rPr>
            </w:pPr>
            <w:r w:rsidRPr="00034CE2">
              <w:rPr>
                <w:sz w:val="14"/>
                <w:szCs w:val="14"/>
              </w:rPr>
              <w:t>42%</w:t>
            </w:r>
          </w:p>
        </w:tc>
        <w:tc>
          <w:tcPr>
            <w:tcW w:w="89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BDD0687" w14:textId="77777777" w:rsidR="00034CE2" w:rsidRPr="00034CE2" w:rsidRDefault="00034CE2" w:rsidP="00034CE2">
            <w:pPr>
              <w:pStyle w:val="Tablesmalltext"/>
              <w:jc w:val="center"/>
              <w:rPr>
                <w:sz w:val="14"/>
                <w:szCs w:val="14"/>
              </w:rPr>
            </w:pPr>
            <w:r w:rsidRPr="00034CE2">
              <w:rPr>
                <w:sz w:val="14"/>
                <w:szCs w:val="14"/>
              </w:rPr>
              <w:t>28%</w:t>
            </w:r>
          </w:p>
        </w:tc>
        <w:tc>
          <w:tcPr>
            <w:tcW w:w="898" w:type="dxa"/>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vAlign w:val="center"/>
            <w:hideMark/>
          </w:tcPr>
          <w:p w14:paraId="4950402F" w14:textId="77777777" w:rsidR="00034CE2" w:rsidRPr="00034CE2" w:rsidRDefault="00034CE2" w:rsidP="00034CE2">
            <w:pPr>
              <w:pStyle w:val="Tablesmalltext"/>
              <w:jc w:val="center"/>
              <w:rPr>
                <w:sz w:val="14"/>
                <w:szCs w:val="14"/>
              </w:rPr>
            </w:pPr>
            <w:r w:rsidRPr="00034CE2">
              <w:rPr>
                <w:sz w:val="14"/>
                <w:szCs w:val="14"/>
              </w:rPr>
              <w:t>37%</w:t>
            </w:r>
          </w:p>
        </w:tc>
      </w:tr>
    </w:tbl>
    <w:p w14:paraId="6E189C9E" w14:textId="77777777" w:rsidR="00034CE2" w:rsidRDefault="00034CE2" w:rsidP="00C566A1">
      <w:pPr>
        <w:rPr>
          <w:rFonts w:asciiTheme="minorHAnsi" w:hAnsiTheme="minorHAnsi" w:cstheme="minorBidi"/>
          <w:sz w:val="18"/>
          <w:szCs w:val="18"/>
          <w:lang w:val="en-AU"/>
        </w:rPr>
      </w:pPr>
    </w:p>
    <w:p w14:paraId="48D5EFCD" w14:textId="77777777" w:rsidR="00121B83" w:rsidRDefault="00121B83">
      <w:pPr>
        <w:spacing w:after="0" w:line="240" w:lineRule="auto"/>
        <w:rPr>
          <w:sz w:val="18"/>
          <w:szCs w:val="18"/>
        </w:rPr>
      </w:pPr>
      <w:r>
        <w:rPr>
          <w:sz w:val="18"/>
          <w:szCs w:val="18"/>
        </w:rPr>
        <w:br w:type="page"/>
      </w:r>
    </w:p>
    <w:p w14:paraId="2E56E293" w14:textId="45938621" w:rsidR="00C566A1" w:rsidRDefault="00C566A1" w:rsidP="002208A1">
      <w:pPr>
        <w:pStyle w:val="Para0"/>
      </w:pPr>
      <w:r>
        <w:lastRenderedPageBreak/>
        <w:t>The channel stability risks noted above are based on the modelled increase in average daily flows from the various PSPs.  However, it doesn’t account for any sub-daily flow variation.  For example, a storm event that generates runoff from the new urban areas might only last for a few hours</w:t>
      </w:r>
      <w:r w:rsidR="00121B83">
        <w:t xml:space="preserve"> so </w:t>
      </w:r>
      <w:r>
        <w:t>the peak flows to Cardinia Creek from these events might be quite high for a few hours, but when average</w:t>
      </w:r>
      <w:r w:rsidR="00121B83">
        <w:t>d</w:t>
      </w:r>
      <w:r>
        <w:t xml:space="preserve"> across a day </w:t>
      </w:r>
      <w:r w:rsidR="00121B83">
        <w:t>the daily average flow will be lower</w:t>
      </w:r>
      <w:r>
        <w:t>.</w:t>
      </w:r>
      <w:r w:rsidR="00121B83">
        <w:t xml:space="preserve">  Hence risks associated with sub-daily peak flows may be overlooked. </w:t>
      </w:r>
      <w:r>
        <w:t xml:space="preserve">  </w:t>
      </w:r>
    </w:p>
    <w:p w14:paraId="563EF6AB" w14:textId="149B8262" w:rsidR="00C566A1" w:rsidRDefault="00C566A1" w:rsidP="002208A1">
      <w:pPr>
        <w:pStyle w:val="Para0"/>
      </w:pPr>
      <w:r>
        <w:t xml:space="preserve">To explore this issue further </w:t>
      </w:r>
      <w:r w:rsidR="00121B83">
        <w:t xml:space="preserve">the </w:t>
      </w:r>
      <w:r>
        <w:t>differences between daily and hour</w:t>
      </w:r>
      <w:r w:rsidR="00F11047">
        <w:t>ly</w:t>
      </w:r>
      <w:r>
        <w:t xml:space="preserve"> peak flow from the PSPs</w:t>
      </w:r>
      <w:r w:rsidR="00121B83">
        <w:t xml:space="preserve"> were assessed</w:t>
      </w:r>
      <w:r>
        <w:t>. The following figure</w:t>
      </w:r>
      <w:r w:rsidR="002208A1">
        <w:t>s (</w:t>
      </w:r>
      <w:r w:rsidR="002208A1">
        <w:fldChar w:fldCharType="begin"/>
      </w:r>
      <w:r w:rsidR="002208A1">
        <w:instrText xml:space="preserve"> REF _Ref42872781 \h </w:instrText>
      </w:r>
      <w:r w:rsidR="002208A1">
        <w:fldChar w:fldCharType="separate"/>
      </w:r>
      <w:r w:rsidR="00BE5F47">
        <w:t xml:space="preserve">Figure </w:t>
      </w:r>
      <w:r w:rsidR="00BE5F47">
        <w:rPr>
          <w:noProof/>
        </w:rPr>
        <w:t>5</w:t>
      </w:r>
      <w:r w:rsidR="00BE5F47">
        <w:noBreakHyphen/>
      </w:r>
      <w:r w:rsidR="00BE5F47">
        <w:rPr>
          <w:noProof/>
        </w:rPr>
        <w:t>11</w:t>
      </w:r>
      <w:r w:rsidR="002208A1">
        <w:fldChar w:fldCharType="end"/>
      </w:r>
      <w:r w:rsidR="002208A1">
        <w:t xml:space="preserve"> and </w:t>
      </w:r>
      <w:r w:rsidR="002208A1">
        <w:fldChar w:fldCharType="begin"/>
      </w:r>
      <w:r w:rsidR="002208A1">
        <w:instrText xml:space="preserve"> REF _Ref42872788 \h </w:instrText>
      </w:r>
      <w:r w:rsidR="002208A1">
        <w:fldChar w:fldCharType="separate"/>
      </w:r>
      <w:r w:rsidR="00BE5F47">
        <w:t xml:space="preserve">Figure </w:t>
      </w:r>
      <w:r w:rsidR="00BE5F47">
        <w:rPr>
          <w:noProof/>
        </w:rPr>
        <w:t>5</w:t>
      </w:r>
      <w:r w:rsidR="00BE5F47">
        <w:noBreakHyphen/>
      </w:r>
      <w:r w:rsidR="00BE5F47">
        <w:rPr>
          <w:noProof/>
        </w:rPr>
        <w:t>12</w:t>
      </w:r>
      <w:r w:rsidR="002208A1">
        <w:fldChar w:fldCharType="end"/>
      </w:r>
      <w:r w:rsidR="002208A1">
        <w:t>)</w:t>
      </w:r>
      <w:r>
        <w:t xml:space="preserve"> show the difference in magnitude of peak flows under current condition (blue) and with either the average daily PSP outflow (orange) or the peak hourly PSP outflow (red) added to the current daily event.  Also, on each plot are relevant thresholds for dwarf galaxias habitat inundation and bed mobilisation.</w:t>
      </w:r>
    </w:p>
    <w:p w14:paraId="4C17F34F" w14:textId="0754B1E4" w:rsidR="00015462" w:rsidRDefault="00C566A1" w:rsidP="002208A1">
      <w:pPr>
        <w:pStyle w:val="Para0"/>
      </w:pPr>
      <w:r>
        <w:t xml:space="preserve">For upstream sections of creek that are only impacted by the Minta Farm outfalls there is </w:t>
      </w:r>
      <w:r w:rsidR="002208A1">
        <w:t xml:space="preserve">very little </w:t>
      </w:r>
      <w:r>
        <w:t>difference between the addition of daily average and hourly peak PSP outflow (</w:t>
      </w:r>
      <w:r w:rsidR="002208A1">
        <w:fldChar w:fldCharType="begin"/>
      </w:r>
      <w:r w:rsidR="002208A1">
        <w:instrText xml:space="preserve"> REF _Ref42872781 \h </w:instrText>
      </w:r>
      <w:r w:rsidR="002208A1">
        <w:fldChar w:fldCharType="separate"/>
      </w:r>
      <w:r w:rsidR="00BE5F47">
        <w:t xml:space="preserve">Figure </w:t>
      </w:r>
      <w:r w:rsidR="00BE5F47">
        <w:rPr>
          <w:noProof/>
        </w:rPr>
        <w:t>5</w:t>
      </w:r>
      <w:r w:rsidR="00BE5F47">
        <w:noBreakHyphen/>
      </w:r>
      <w:r w:rsidR="00BE5F47">
        <w:rPr>
          <w:noProof/>
        </w:rPr>
        <w:t>11</w:t>
      </w:r>
      <w:r w:rsidR="002208A1">
        <w:fldChar w:fldCharType="end"/>
      </w:r>
      <w:r>
        <w:t xml:space="preserve">).  This is because the area associated with the Minta Farm PSP is not large relative to the upstream catchment, so the incremental increase in flows is </w:t>
      </w:r>
      <w:r w:rsidR="002208A1">
        <w:t>small,</w:t>
      </w:r>
      <w:r>
        <w:t xml:space="preserve"> and over a </w:t>
      </w:r>
      <w:r w:rsidR="002208A1">
        <w:t>ten-year</w:t>
      </w:r>
      <w:r>
        <w:t xml:space="preserve"> modelling period there is only one or two additional events that would inundate dwarf galaxias habitat or exceed bed mobilisation threshold compared to current.  On this basis, the risks to dwarf galaxias habitat inundation and channel stability in the Reach from Minta Farm downstream to the Cardinia drop structure and even further on to the point of the Officer South Outfall location is considered low.  This low impact reach also includes the </w:t>
      </w:r>
      <w:r w:rsidR="002208A1">
        <w:t>area where most Australian grayling have been recorded</w:t>
      </w:r>
      <w:r>
        <w:t>.</w:t>
      </w:r>
    </w:p>
    <w:p w14:paraId="60252133" w14:textId="77777777" w:rsidR="00E110AF" w:rsidRDefault="00E110AF" w:rsidP="00E110AF">
      <w:pPr>
        <w:pStyle w:val="Para0"/>
      </w:pPr>
      <w:r>
        <w:t>However, there are large difference between daily and peak (hourly) flow increases downstream of the proposed Officer South outfall and Cardinia South outfalls (</w:t>
      </w:r>
      <w:r>
        <w:fldChar w:fldCharType="begin"/>
      </w:r>
      <w:r>
        <w:instrText xml:space="preserve"> REF _Ref42872788 \h </w:instrText>
      </w:r>
      <w:r>
        <w:fldChar w:fldCharType="separate"/>
      </w:r>
      <w:r>
        <w:t xml:space="preserve">Figure </w:t>
      </w:r>
      <w:r>
        <w:rPr>
          <w:noProof/>
        </w:rPr>
        <w:t>5</w:t>
      </w:r>
      <w:r>
        <w:noBreakHyphen/>
      </w:r>
      <w:r>
        <w:rPr>
          <w:noProof/>
        </w:rPr>
        <w:t>12</w:t>
      </w:r>
      <w:r>
        <w:fldChar w:fldCharType="end"/>
      </w:r>
      <w:r>
        <w:t xml:space="preserve">).  This shows that there is potential for frequent sub-daily flow events to exceed the Bed mobilisation threshold for the reach downstream of these outfalls.  </w:t>
      </w:r>
      <w:r>
        <w:fldChar w:fldCharType="begin"/>
      </w:r>
      <w:r>
        <w:instrText xml:space="preserve"> REF _Ref42873169 \h </w:instrText>
      </w:r>
      <w:r>
        <w:fldChar w:fldCharType="separate"/>
      </w:r>
      <w:r>
        <w:t xml:space="preserve">Figure </w:t>
      </w:r>
      <w:r>
        <w:rPr>
          <w:noProof/>
        </w:rPr>
        <w:t>5</w:t>
      </w:r>
      <w:r>
        <w:noBreakHyphen/>
      </w:r>
      <w:r>
        <w:rPr>
          <w:noProof/>
        </w:rPr>
        <w:t>13</w:t>
      </w:r>
      <w:r>
        <w:fldChar w:fldCharType="end"/>
      </w:r>
      <w:r>
        <w:t xml:space="preserve"> shows the change in the number, duration and timing of these increased flow events.  Notable in this plot is that when peak hourly flows are incorporated into the modelling, flows that exceed the bed mobilisation threshold may also occur in summer and autumn when they otherwise don’t occur during this period under current conditions.</w:t>
      </w:r>
    </w:p>
    <w:p w14:paraId="06F0A745" w14:textId="77777777" w:rsidR="00E110AF" w:rsidRDefault="00E110AF" w:rsidP="00E110AF">
      <w:pPr>
        <w:pStyle w:val="Para0"/>
      </w:pPr>
      <w:r>
        <w:t xml:space="preserve">To further demonstrate the change in flow associated with the cumulative impact of all proposed PSPs outfalls, </w:t>
      </w:r>
      <w:r>
        <w:fldChar w:fldCharType="begin"/>
      </w:r>
      <w:r>
        <w:instrText xml:space="preserve"> REF _Ref42873791 \h </w:instrText>
      </w:r>
      <w:r>
        <w:fldChar w:fldCharType="separate"/>
      </w:r>
      <w:r>
        <w:t xml:space="preserve">Figure </w:t>
      </w:r>
      <w:r>
        <w:rPr>
          <w:noProof/>
        </w:rPr>
        <w:t>5</w:t>
      </w:r>
      <w:r>
        <w:noBreakHyphen/>
      </w:r>
      <w:r>
        <w:rPr>
          <w:noProof/>
        </w:rPr>
        <w:t>14</w:t>
      </w:r>
      <w:r>
        <w:fldChar w:fldCharType="end"/>
      </w:r>
      <w:r>
        <w:t xml:space="preserve"> shows the change in the Average Recurrence Interval (ARI) under current and developed conditions.  There is very little change in the ARI downstream of the proposed Minta Farm north outfall.  The magnitude of the 1:1 year event is the same (~600 ML/d) under current and developed conditions.  However, at Chasemore Road the 1:1 year event changes from a flow of ~600 ML/d to a flow of ~800 ML/d (what was the 1:1 year flow now occurs twice per year).  Moreover, flows that would have occurred once every 5 years (~1000 ML/d) are predicted to occur around once every 2 years.   </w:t>
      </w:r>
    </w:p>
    <w:p w14:paraId="57391B6B" w14:textId="3662D242" w:rsidR="00E110AF" w:rsidRDefault="00E110AF">
      <w:pPr>
        <w:spacing w:after="0" w:line="240" w:lineRule="auto"/>
      </w:pPr>
      <w:r>
        <w:br w:type="page"/>
      </w:r>
    </w:p>
    <w:p w14:paraId="0828FF34" w14:textId="77777777" w:rsidR="00E110AF" w:rsidRDefault="00E110AF" w:rsidP="002208A1">
      <w:pPr>
        <w:pStyle w:val="Para0"/>
      </w:pPr>
    </w:p>
    <w:p w14:paraId="3E763CEB" w14:textId="154AEBF5" w:rsidR="00D45766" w:rsidRDefault="00D45766" w:rsidP="00D45766">
      <w:r>
        <w:rPr>
          <w:noProof/>
        </w:rPr>
        <w:drawing>
          <wp:inline distT="0" distB="0" distL="0" distR="0" wp14:anchorId="0711C1AA" wp14:editId="3F490C0F">
            <wp:extent cx="6144892" cy="2981325"/>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6185496" cy="3001025"/>
                    </a:xfrm>
                    <a:prstGeom prst="rect">
                      <a:avLst/>
                    </a:prstGeom>
                    <a:noFill/>
                  </pic:spPr>
                </pic:pic>
              </a:graphicData>
            </a:graphic>
          </wp:inline>
        </w:drawing>
      </w:r>
    </w:p>
    <w:p w14:paraId="764ADE02" w14:textId="7A3A7D56" w:rsidR="002208A1" w:rsidRDefault="002208A1" w:rsidP="00D45766">
      <w:r>
        <w:rPr>
          <w:noProof/>
        </w:rPr>
        <w:drawing>
          <wp:inline distT="0" distB="0" distL="0" distR="0" wp14:anchorId="30E74328" wp14:editId="4D17B68C">
            <wp:extent cx="6063086" cy="2971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6098888" cy="2989348"/>
                    </a:xfrm>
                    <a:prstGeom prst="rect">
                      <a:avLst/>
                    </a:prstGeom>
                    <a:noFill/>
                  </pic:spPr>
                </pic:pic>
              </a:graphicData>
            </a:graphic>
          </wp:inline>
        </w:drawing>
      </w:r>
    </w:p>
    <w:p w14:paraId="590BCB14" w14:textId="72D2CC92" w:rsidR="00D45766" w:rsidRDefault="00121B83" w:rsidP="00121B83">
      <w:pPr>
        <w:pStyle w:val="Caption"/>
      </w:pPr>
      <w:bookmarkStart w:id="86" w:name="_Ref42872781"/>
      <w:r>
        <w:t xml:space="preserve">Figure </w:t>
      </w:r>
      <w:r w:rsidR="00E67EC2">
        <w:fldChar w:fldCharType="begin"/>
      </w:r>
      <w:r w:rsidR="00E67EC2">
        <w:instrText xml:space="preserve"> STYLEREF 1 \s </w:instrText>
      </w:r>
      <w:r w:rsidR="00E67EC2">
        <w:fldChar w:fldCharType="separate"/>
      </w:r>
      <w:r w:rsidR="00BE5F47">
        <w:rPr>
          <w:noProof/>
        </w:rPr>
        <w:t>5</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11</w:t>
      </w:r>
      <w:r w:rsidR="00E67EC2">
        <w:fldChar w:fldCharType="end"/>
      </w:r>
      <w:bookmarkEnd w:id="86"/>
      <w:r>
        <w:t xml:space="preserve"> Differences between current and peak </w:t>
      </w:r>
      <w:r w:rsidR="002208A1">
        <w:t>daily</w:t>
      </w:r>
      <w:r>
        <w:t xml:space="preserve"> or hourly full development flows downstream of the Minta Farm</w:t>
      </w:r>
      <w:r w:rsidR="002208A1">
        <w:t xml:space="preserve"> north (upper panel) and combined Minta Farm north and south outfalls (lower panel).  Peaks are compared to the bed mobilisation threshold and the dwarf galaxias anabranch inundation threshold (at Minta Farm north).</w:t>
      </w:r>
    </w:p>
    <w:p w14:paraId="1BFEF082" w14:textId="77777777" w:rsidR="00E110AF" w:rsidRPr="00E110AF" w:rsidRDefault="00E110AF" w:rsidP="00E110AF">
      <w:pPr>
        <w:pStyle w:val="Para0"/>
      </w:pPr>
    </w:p>
    <w:p w14:paraId="1D27DD25" w14:textId="39929382" w:rsidR="00D45766" w:rsidRDefault="00D45766" w:rsidP="00D45766">
      <w:r>
        <w:rPr>
          <w:noProof/>
        </w:rPr>
        <w:lastRenderedPageBreak/>
        <w:drawing>
          <wp:inline distT="0" distB="0" distL="0" distR="0" wp14:anchorId="41729138" wp14:editId="1833351E">
            <wp:extent cx="5650865" cy="2769752"/>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695507" cy="2791633"/>
                    </a:xfrm>
                    <a:prstGeom prst="rect">
                      <a:avLst/>
                    </a:prstGeom>
                    <a:noFill/>
                  </pic:spPr>
                </pic:pic>
              </a:graphicData>
            </a:graphic>
          </wp:inline>
        </w:drawing>
      </w:r>
    </w:p>
    <w:p w14:paraId="4731B985" w14:textId="020B7FAF" w:rsidR="002208A1" w:rsidRDefault="002208A1" w:rsidP="00D45766">
      <w:r>
        <w:rPr>
          <w:noProof/>
        </w:rPr>
        <w:drawing>
          <wp:inline distT="0" distB="0" distL="0" distR="0" wp14:anchorId="0E2E1FDD" wp14:editId="48A4749C">
            <wp:extent cx="5651157" cy="2769894"/>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682022" cy="2785022"/>
                    </a:xfrm>
                    <a:prstGeom prst="rect">
                      <a:avLst/>
                    </a:prstGeom>
                    <a:noFill/>
                  </pic:spPr>
                </pic:pic>
              </a:graphicData>
            </a:graphic>
          </wp:inline>
        </w:drawing>
      </w:r>
    </w:p>
    <w:p w14:paraId="15B7F540" w14:textId="76A12630" w:rsidR="002208A1" w:rsidRDefault="002208A1" w:rsidP="002208A1">
      <w:pPr>
        <w:pStyle w:val="Caption"/>
      </w:pPr>
      <w:bookmarkStart w:id="87" w:name="_Ref42872788"/>
      <w:r>
        <w:t xml:space="preserve">Figure </w:t>
      </w:r>
      <w:r w:rsidR="00E67EC2">
        <w:fldChar w:fldCharType="begin"/>
      </w:r>
      <w:r w:rsidR="00E67EC2">
        <w:instrText xml:space="preserve"> STYLEREF 1 \s </w:instrText>
      </w:r>
      <w:r w:rsidR="00E67EC2">
        <w:fldChar w:fldCharType="separate"/>
      </w:r>
      <w:r w:rsidR="00BE5F47">
        <w:rPr>
          <w:noProof/>
        </w:rPr>
        <w:t>5</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12</w:t>
      </w:r>
      <w:r w:rsidR="00E67EC2">
        <w:fldChar w:fldCharType="end"/>
      </w:r>
      <w:bookmarkEnd w:id="87"/>
      <w:r>
        <w:t xml:space="preserve"> Differences between current and peak daily or hourly full development flows downstream of the Minta Farm, Officer South and Cardinia South outfalls.  Peaks are compared to the bed mobilisation threshold at Chasemore Road</w:t>
      </w:r>
      <w:r w:rsidR="00C94228">
        <w:t xml:space="preserve"> (upper panel) and Westernport Bay outlet (lower panel)</w:t>
      </w:r>
      <w:r>
        <w:t>.</w:t>
      </w:r>
    </w:p>
    <w:p w14:paraId="05CC793F" w14:textId="77777777" w:rsidR="002208A1" w:rsidRDefault="002208A1" w:rsidP="00D45766">
      <w:pPr>
        <w:rPr>
          <w:szCs w:val="20"/>
        </w:rPr>
      </w:pPr>
    </w:p>
    <w:p w14:paraId="5B1B384F" w14:textId="4C520F7E" w:rsidR="00E110AF" w:rsidRDefault="00E110AF">
      <w:pPr>
        <w:spacing w:after="0" w:line="240" w:lineRule="auto"/>
      </w:pPr>
      <w:r>
        <w:br w:type="page"/>
      </w:r>
    </w:p>
    <w:p w14:paraId="03293642" w14:textId="77777777" w:rsidR="00D45766" w:rsidRDefault="00D45766" w:rsidP="00D45766"/>
    <w:p w14:paraId="3E4C1CFE" w14:textId="77777777" w:rsidR="00D45766" w:rsidRDefault="00D45766" w:rsidP="00D45766"/>
    <w:p w14:paraId="09012481" w14:textId="77777777" w:rsidR="00D45766" w:rsidRDefault="00D45766" w:rsidP="00D45766">
      <w:r>
        <w:rPr>
          <w:noProof/>
        </w:rPr>
        <w:drawing>
          <wp:inline distT="0" distB="0" distL="0" distR="0" wp14:anchorId="40DAB1EB" wp14:editId="20E85778">
            <wp:extent cx="3667125" cy="160332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701164" cy="1618209"/>
                    </a:xfrm>
                    <a:prstGeom prst="rect">
                      <a:avLst/>
                    </a:prstGeom>
                  </pic:spPr>
                </pic:pic>
              </a:graphicData>
            </a:graphic>
          </wp:inline>
        </w:drawing>
      </w:r>
    </w:p>
    <w:p w14:paraId="0BE20F61" w14:textId="77777777" w:rsidR="00D45766" w:rsidRDefault="00D45766" w:rsidP="00D45766">
      <w:r>
        <w:rPr>
          <w:noProof/>
        </w:rPr>
        <w:drawing>
          <wp:inline distT="0" distB="0" distL="0" distR="0" wp14:anchorId="0C705AEF" wp14:editId="4D5D291D">
            <wp:extent cx="3705225" cy="161581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768155" cy="1643254"/>
                    </a:xfrm>
                    <a:prstGeom prst="rect">
                      <a:avLst/>
                    </a:prstGeom>
                  </pic:spPr>
                </pic:pic>
              </a:graphicData>
            </a:graphic>
          </wp:inline>
        </w:drawing>
      </w:r>
    </w:p>
    <w:p w14:paraId="7A74BDA6" w14:textId="77777777" w:rsidR="00D45766" w:rsidRDefault="00D45766" w:rsidP="00D45766">
      <w:r>
        <w:rPr>
          <w:noProof/>
        </w:rPr>
        <w:drawing>
          <wp:inline distT="0" distB="0" distL="0" distR="0" wp14:anchorId="09FF1069" wp14:editId="19253B94">
            <wp:extent cx="3714750" cy="1670505"/>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3763178" cy="1692283"/>
                    </a:xfrm>
                    <a:prstGeom prst="rect">
                      <a:avLst/>
                    </a:prstGeom>
                  </pic:spPr>
                </pic:pic>
              </a:graphicData>
            </a:graphic>
          </wp:inline>
        </w:drawing>
      </w:r>
    </w:p>
    <w:p w14:paraId="6B9C7918" w14:textId="77A18E44" w:rsidR="00D45766" w:rsidRDefault="002208A1" w:rsidP="002208A1">
      <w:pPr>
        <w:pStyle w:val="Caption"/>
      </w:pPr>
      <w:bookmarkStart w:id="88" w:name="_Ref42873169"/>
      <w:r>
        <w:t xml:space="preserve">Figure </w:t>
      </w:r>
      <w:r w:rsidR="00E67EC2">
        <w:fldChar w:fldCharType="begin"/>
      </w:r>
      <w:r w:rsidR="00E67EC2">
        <w:instrText xml:space="preserve"> STYLEREF 1 \s </w:instrText>
      </w:r>
      <w:r w:rsidR="00E67EC2">
        <w:fldChar w:fldCharType="separate"/>
      </w:r>
      <w:r w:rsidR="00BE5F47">
        <w:rPr>
          <w:noProof/>
        </w:rPr>
        <w:t>5</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13</w:t>
      </w:r>
      <w:r w:rsidR="00E67EC2">
        <w:fldChar w:fldCharType="end"/>
      </w:r>
      <w:bookmarkEnd w:id="88"/>
      <w:r>
        <w:t xml:space="preserve"> Spells above the bed mobilisation flow at Chasemore </w:t>
      </w:r>
      <w:r w:rsidR="00015462">
        <w:t>R</w:t>
      </w:r>
      <w:r>
        <w:t>oad under current</w:t>
      </w:r>
      <w:r w:rsidR="00F11047">
        <w:t xml:space="preserve"> (upper panel)</w:t>
      </w:r>
      <w:r>
        <w:t xml:space="preserve"> and full development (peak daily</w:t>
      </w:r>
      <w:r w:rsidR="00F11047">
        <w:t>-middle panel</w:t>
      </w:r>
      <w:r>
        <w:t xml:space="preserve"> and peak hourly</w:t>
      </w:r>
      <w:r w:rsidR="00F11047">
        <w:t>-lower panel</w:t>
      </w:r>
      <w:r>
        <w:t>) conditions</w:t>
      </w:r>
    </w:p>
    <w:p w14:paraId="6CDE8E38" w14:textId="3E5E09C9" w:rsidR="00D45766" w:rsidRDefault="00D45766" w:rsidP="00D45766"/>
    <w:p w14:paraId="38AA2F8C" w14:textId="7807F083" w:rsidR="00015462" w:rsidRDefault="00015462" w:rsidP="00D45766"/>
    <w:p w14:paraId="2663A0BC" w14:textId="77777777" w:rsidR="00015462" w:rsidRDefault="00015462" w:rsidP="00015462">
      <w:pPr>
        <w:pStyle w:val="Para0"/>
      </w:pPr>
      <w:r>
        <w:rPr>
          <w:noProof/>
        </w:rPr>
        <w:lastRenderedPageBreak/>
        <w:drawing>
          <wp:inline distT="0" distB="0" distL="0" distR="0" wp14:anchorId="21109713" wp14:editId="14806D13">
            <wp:extent cx="4600575" cy="3167053"/>
            <wp:effectExtent l="0" t="0" r="0" b="0"/>
            <wp:docPr id="6159" name="Picture 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03133" cy="3168814"/>
                    </a:xfrm>
                    <a:prstGeom prst="rect">
                      <a:avLst/>
                    </a:prstGeom>
                    <a:noFill/>
                  </pic:spPr>
                </pic:pic>
              </a:graphicData>
            </a:graphic>
          </wp:inline>
        </w:drawing>
      </w:r>
    </w:p>
    <w:p w14:paraId="571A252A" w14:textId="3EEC97B5" w:rsidR="00015462" w:rsidRDefault="00015462" w:rsidP="00015462">
      <w:pPr>
        <w:pStyle w:val="Caption"/>
      </w:pPr>
      <w:bookmarkStart w:id="89" w:name="_Ref42873791"/>
      <w:r>
        <w:t xml:space="preserve">Figure </w:t>
      </w:r>
      <w:r w:rsidR="00E67EC2">
        <w:fldChar w:fldCharType="begin"/>
      </w:r>
      <w:r w:rsidR="00E67EC2">
        <w:instrText xml:space="preserve"> STYLEREF 1 \s </w:instrText>
      </w:r>
      <w:r w:rsidR="00E67EC2">
        <w:fldChar w:fldCharType="separate"/>
      </w:r>
      <w:r w:rsidR="00BE5F47">
        <w:rPr>
          <w:noProof/>
        </w:rPr>
        <w:t>5</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14</w:t>
      </w:r>
      <w:r w:rsidR="00E67EC2">
        <w:fldChar w:fldCharType="end"/>
      </w:r>
      <w:bookmarkEnd w:id="89"/>
      <w:r>
        <w:t xml:space="preserve"> Change in </w:t>
      </w:r>
      <w:r w:rsidR="00121816">
        <w:t>Annual R</w:t>
      </w:r>
      <w:r>
        <w:t xml:space="preserve">ecurrence </w:t>
      </w:r>
      <w:r w:rsidR="00121816">
        <w:t>I</w:t>
      </w:r>
      <w:r>
        <w:t>nterval for flows at Minta Farm North and Chasemore Road (cumulative impact of all PSPs) under current and full development conditions.</w:t>
      </w:r>
    </w:p>
    <w:p w14:paraId="63A2CCC5" w14:textId="15DBE6CE" w:rsidR="00015462" w:rsidRDefault="00015462" w:rsidP="00D45766"/>
    <w:p w14:paraId="3032258F" w14:textId="3A62F66E" w:rsidR="00207744" w:rsidRDefault="00207744" w:rsidP="00207744">
      <w:pPr>
        <w:pStyle w:val="SectionSubheading2"/>
      </w:pPr>
      <w:r>
        <w:t>Summary of channel stability risks</w:t>
      </w:r>
    </w:p>
    <w:p w14:paraId="2FAFAAFC" w14:textId="1AC4B153" w:rsidR="00207744" w:rsidRDefault="00207744" w:rsidP="00207744">
      <w:pPr>
        <w:pStyle w:val="Para0"/>
      </w:pPr>
      <w:r>
        <w:t xml:space="preserve">The analysis of potential risks to channel stability indicates that there is little change in the risk profile associated with the proposed Minta Farm north and south outfalls.  However, downstream of the proposed Officer South outfall there is potential for an increase in the frequency and duration of flows that exceed </w:t>
      </w:r>
      <w:r w:rsidR="005C5D72">
        <w:t xml:space="preserve">critical shear stress and bed mobilisation thresholds, particularly in association with an increase in the magnitude of peak sub-daily flow events.  </w:t>
      </w:r>
      <w:r>
        <w:t>Even though peak flows only occur for short periods of time (hours), they still represent a risk to channel stability and may initiate erosion of bed and bank material that is subsequently transported downstream at lower flows.</w:t>
      </w:r>
    </w:p>
    <w:p w14:paraId="06D38277" w14:textId="3FE80B13" w:rsidR="005C5D72" w:rsidRDefault="005C5D72" w:rsidP="00207744">
      <w:pPr>
        <w:pStyle w:val="Para0"/>
      </w:pPr>
      <w:r>
        <w:t xml:space="preserve">These increased flow peaks could contribute towards excessive erosion of bed and banks compared to current conditions, may contribute to the scour of instream vegetation, and are also likely to impact on the quality of habitat for aquatic organisms that use or migrate through this reach.  </w:t>
      </w:r>
    </w:p>
    <w:p w14:paraId="01949EF9" w14:textId="77777777" w:rsidR="00207744" w:rsidRPr="00207744" w:rsidRDefault="00207744" w:rsidP="00207744">
      <w:pPr>
        <w:pStyle w:val="Para0"/>
      </w:pPr>
    </w:p>
    <w:p w14:paraId="41E71E38" w14:textId="3C82DCA3" w:rsidR="006819B4" w:rsidRDefault="006819B4" w:rsidP="0062671A">
      <w:pPr>
        <w:pStyle w:val="Para0"/>
        <w:rPr>
          <w:i/>
        </w:rPr>
      </w:pPr>
    </w:p>
    <w:p w14:paraId="03572053" w14:textId="77777777" w:rsidR="0071707B" w:rsidRPr="0071707B" w:rsidRDefault="0071707B" w:rsidP="0062671A">
      <w:pPr>
        <w:pStyle w:val="Para0"/>
      </w:pPr>
    </w:p>
    <w:p w14:paraId="5B295647" w14:textId="194E0A01" w:rsidR="00552BFB" w:rsidRDefault="005C5D72" w:rsidP="0072194C">
      <w:pPr>
        <w:pStyle w:val="Heading1"/>
      </w:pPr>
      <w:bookmarkStart w:id="90" w:name="_Toc69480716"/>
      <w:r>
        <w:lastRenderedPageBreak/>
        <w:t>Summary and recommendations</w:t>
      </w:r>
      <w:bookmarkEnd w:id="90"/>
    </w:p>
    <w:p w14:paraId="457D9D3B" w14:textId="3C4D364F" w:rsidR="00BE0941" w:rsidRDefault="00BE0941" w:rsidP="00BE0941">
      <w:pPr>
        <w:pStyle w:val="Heading2"/>
      </w:pPr>
      <w:bookmarkStart w:id="91" w:name="_Toc69480717"/>
      <w:r>
        <w:t>Summary</w:t>
      </w:r>
      <w:bookmarkEnd w:id="91"/>
    </w:p>
    <w:p w14:paraId="74E51894" w14:textId="2229EC47" w:rsidR="00B67369" w:rsidRDefault="00B67369" w:rsidP="00B67369">
      <w:pPr>
        <w:pStyle w:val="Heading3"/>
      </w:pPr>
      <w:bookmarkStart w:id="92" w:name="_Toc69480718"/>
      <w:r>
        <w:t>Impacts associated with Minta Farm PSP</w:t>
      </w:r>
      <w:bookmarkEnd w:id="92"/>
    </w:p>
    <w:p w14:paraId="13E29DF8" w14:textId="00CA888C" w:rsidR="00207744" w:rsidRDefault="00207744" w:rsidP="005C5D72">
      <w:pPr>
        <w:pStyle w:val="Para0"/>
      </w:pPr>
      <w:r>
        <w:t xml:space="preserve">In summary, there are overall increases in the volume of water entering Cardinia Creek via both the Minta Farm north and Minta Farm south outfalls, </w:t>
      </w:r>
      <w:r w:rsidR="005C5D72">
        <w:t xml:space="preserve">however, </w:t>
      </w:r>
      <w:r>
        <w:t>the increase in volume is not significant enough to result in a substantial change in low flows in Cardinia Creek and there is no significant increase in the frequency or duration of high flow events that inundate dwarf galaxias habitat.  This is because the area associated with the Minta Farm developments is small compared to the upstream Cardinia Creek catchment area, so the contributing flows from the PSP areas are consequently relatively small in the context of upstream catchment flows.</w:t>
      </w:r>
      <w:r w:rsidR="00BE0941">
        <w:t xml:space="preserve">  However, there are a range of other risks to dwarf galaxias habitat in the Minta Farm area that need to be addressed as part of development.  These include construction works associated with the Minta Farm north outfall and the decommissioning of Pond 2, construction works associated with the remediation of the Pond 3 embankment, and the overflow regime associated with the remodelled ephemeral habitat associated with Pond 3.</w:t>
      </w:r>
    </w:p>
    <w:p w14:paraId="77D301FD" w14:textId="0A29A4D8" w:rsidR="00207744" w:rsidRDefault="00207744" w:rsidP="005C5D72">
      <w:pPr>
        <w:pStyle w:val="Para0"/>
      </w:pPr>
      <w:r>
        <w:t xml:space="preserve">Low risks are also present in Reach 2 downstream of the Cardinia Drop structure through the section of that reach where </w:t>
      </w:r>
      <w:r w:rsidR="005C5D72">
        <w:t>Australian</w:t>
      </w:r>
      <w:r>
        <w:t xml:space="preserve"> grayling have been recorded.  This suggests that any changes in flow are unlikely to represent risks to </w:t>
      </w:r>
      <w:r w:rsidR="005C5D72">
        <w:t xml:space="preserve">Australian </w:t>
      </w:r>
      <w:r>
        <w:t>grayling survival or alter movement and spawning cues (e.g. movement through existing fishways) at the local scale.  Moreover, the change in flows are unlikely to represent a risk to channel stability with there being no significant increase in the frequency or duration of flows above the magnitudes that would contribute to increased erosion risks.</w:t>
      </w:r>
    </w:p>
    <w:p w14:paraId="18462434" w14:textId="1BF0118F" w:rsidR="00B67369" w:rsidRDefault="00B67369" w:rsidP="00B67369">
      <w:pPr>
        <w:pStyle w:val="Heading3"/>
      </w:pPr>
      <w:bookmarkStart w:id="93" w:name="_Toc69480719"/>
      <w:r>
        <w:t xml:space="preserve">Impacts associated with Officer South </w:t>
      </w:r>
      <w:r w:rsidR="00E110AF">
        <w:t xml:space="preserve">Employment </w:t>
      </w:r>
      <w:r>
        <w:t>and Cardinia South PSPs</w:t>
      </w:r>
      <w:bookmarkEnd w:id="93"/>
    </w:p>
    <w:p w14:paraId="02A19082" w14:textId="3ECA22DC" w:rsidR="005C5D72" w:rsidRDefault="00B67369" w:rsidP="005C5D72">
      <w:pPr>
        <w:pStyle w:val="Para0"/>
      </w:pPr>
      <w:r>
        <w:t>T</w:t>
      </w:r>
      <w:r w:rsidR="00207744">
        <w:t>here is a potential</w:t>
      </w:r>
      <w:r w:rsidR="005C5D72">
        <w:t xml:space="preserve"> risk to stream condition</w:t>
      </w:r>
      <w:r w:rsidR="00207744">
        <w:t xml:space="preserve"> downstream of the Officer South </w:t>
      </w:r>
      <w:r w:rsidR="00E110AF">
        <w:t xml:space="preserve">Employment </w:t>
      </w:r>
      <w:r w:rsidR="005C5D72">
        <w:t xml:space="preserve">and Cardinia South </w:t>
      </w:r>
      <w:r w:rsidR="00207744">
        <w:t>outfall</w:t>
      </w:r>
      <w:r w:rsidR="005C5D72">
        <w:t xml:space="preserve">s (although most of the impact is associated with the </w:t>
      </w:r>
      <w:r w:rsidR="0023198F">
        <w:t>Officer South Employment PSP</w:t>
      </w:r>
      <w:r w:rsidR="005C5D72">
        <w:t xml:space="preserve"> being a larger catchment area than the Cardinia South PSP). </w:t>
      </w:r>
      <w:r w:rsidR="00207744">
        <w:t xml:space="preserve"> In particular, there is an increase in the number of flow events that occur at a sub-daily (i.e. hourly) duration that exceed critical bed mobilisation flows which could contribute to increased channel erosion and scour of vegetation.  This has the potential to impacts on the quality of habitat through the reach and may also interrupt movement cues for </w:t>
      </w:r>
      <w:r w:rsidR="005C5D72">
        <w:t xml:space="preserve">Australian </w:t>
      </w:r>
      <w:r w:rsidR="00207744">
        <w:t xml:space="preserve">grayling that need to move through this reach for downstream spawning and upstream juvenile migration in autumn and spring respectively.  </w:t>
      </w:r>
      <w:r w:rsidR="00BE0941">
        <w:t>Fur</w:t>
      </w:r>
      <w:r w:rsidR="005C5D72">
        <w:t>ther downstream, to Westernport Bay, risks are mitigated to some extent because of the larger channel capacity associated with the Cardinia Outfall through the Koo Wee Rup Flood Protection Area.</w:t>
      </w:r>
    </w:p>
    <w:p w14:paraId="283EC37E" w14:textId="6B78D3ED" w:rsidR="00207744" w:rsidRDefault="005C5D72" w:rsidP="005C5D72">
      <w:pPr>
        <w:pStyle w:val="Para0"/>
      </w:pPr>
      <w:r>
        <w:fldChar w:fldCharType="begin"/>
      </w:r>
      <w:r>
        <w:instrText xml:space="preserve"> REF _Ref42874980 \h </w:instrText>
      </w:r>
      <w:r>
        <w:fldChar w:fldCharType="separate"/>
      </w:r>
      <w:r w:rsidR="00BE5F47">
        <w:t xml:space="preserve">Figure </w:t>
      </w:r>
      <w:r w:rsidR="00BE5F47">
        <w:rPr>
          <w:noProof/>
        </w:rPr>
        <w:t>6</w:t>
      </w:r>
      <w:r w:rsidR="00BE5F47">
        <w:noBreakHyphen/>
      </w:r>
      <w:r w:rsidR="00BE5F47">
        <w:rPr>
          <w:noProof/>
        </w:rPr>
        <w:t>1</w:t>
      </w:r>
      <w:r>
        <w:fldChar w:fldCharType="end"/>
      </w:r>
      <w:r>
        <w:t xml:space="preserve"> </w:t>
      </w:r>
      <w:r w:rsidR="00207744">
        <w:t>highlights the areas of risk along the creek.</w:t>
      </w:r>
    </w:p>
    <w:p w14:paraId="7EE62709" w14:textId="77777777" w:rsidR="00BE0941" w:rsidRDefault="00BE0941" w:rsidP="005C5D72">
      <w:pPr>
        <w:pStyle w:val="Para0"/>
      </w:pPr>
    </w:p>
    <w:p w14:paraId="0ADE76BE" w14:textId="77777777" w:rsidR="00207744" w:rsidRDefault="00207744" w:rsidP="00207744">
      <w:pPr>
        <w:rPr>
          <w:sz w:val="18"/>
          <w:szCs w:val="18"/>
        </w:rPr>
      </w:pPr>
      <w:r>
        <w:rPr>
          <w:noProof/>
        </w:rPr>
        <w:lastRenderedPageBreak/>
        <w:drawing>
          <wp:inline distT="0" distB="0" distL="0" distR="0" wp14:anchorId="0018B020" wp14:editId="16025E15">
            <wp:extent cx="4782126" cy="4431957"/>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96609" cy="4445379"/>
                    </a:xfrm>
                    <a:prstGeom prst="rect">
                      <a:avLst/>
                    </a:prstGeom>
                  </pic:spPr>
                </pic:pic>
              </a:graphicData>
            </a:graphic>
          </wp:inline>
        </w:drawing>
      </w:r>
    </w:p>
    <w:p w14:paraId="137E12D2" w14:textId="5E05AF6D" w:rsidR="00207744" w:rsidRDefault="005C5D72" w:rsidP="005C5D72">
      <w:pPr>
        <w:pStyle w:val="Caption"/>
      </w:pPr>
      <w:bookmarkStart w:id="94" w:name="_Ref42874980"/>
      <w:r>
        <w:t xml:space="preserve">Figure </w:t>
      </w:r>
      <w:r w:rsidR="00E67EC2">
        <w:fldChar w:fldCharType="begin"/>
      </w:r>
      <w:r w:rsidR="00E67EC2">
        <w:instrText xml:space="preserve"> STYLEREF 1 \s </w:instrText>
      </w:r>
      <w:r w:rsidR="00E67EC2">
        <w:fldChar w:fldCharType="separate"/>
      </w:r>
      <w:r w:rsidR="00BE5F47">
        <w:rPr>
          <w:noProof/>
        </w:rPr>
        <w:t>6</w:t>
      </w:r>
      <w:r w:rsidR="00E67EC2">
        <w:fldChar w:fldCharType="end"/>
      </w:r>
      <w:r w:rsidR="00E67EC2">
        <w:noBreakHyphen/>
      </w:r>
      <w:r w:rsidR="00E67EC2">
        <w:fldChar w:fldCharType="begin"/>
      </w:r>
      <w:r w:rsidR="00E67EC2">
        <w:instrText xml:space="preserve"> SEQ Figure \* ARABIC \s 1 </w:instrText>
      </w:r>
      <w:r w:rsidR="00E67EC2">
        <w:fldChar w:fldCharType="separate"/>
      </w:r>
      <w:r w:rsidR="00BE5F47">
        <w:rPr>
          <w:noProof/>
        </w:rPr>
        <w:t>1</w:t>
      </w:r>
      <w:r w:rsidR="00E67EC2">
        <w:fldChar w:fldCharType="end"/>
      </w:r>
      <w:bookmarkEnd w:id="94"/>
      <w:r>
        <w:t xml:space="preserve"> </w:t>
      </w:r>
      <w:r w:rsidR="00207744">
        <w:t xml:space="preserve">Reach risk rating (green-low, yellow-moderate, red-high).  Blue stars indicate habitat for (and recorded locations of) dwarf galaxias and Australian grayling </w:t>
      </w:r>
    </w:p>
    <w:p w14:paraId="66A4B3D1" w14:textId="78E21DCC" w:rsidR="00207744" w:rsidRDefault="00207744" w:rsidP="00BE0941">
      <w:pPr>
        <w:pStyle w:val="Heading2"/>
      </w:pPr>
      <w:bookmarkStart w:id="95" w:name="_Toc69480720"/>
      <w:r>
        <w:t>Mitigation recommendations</w:t>
      </w:r>
      <w:bookmarkEnd w:id="95"/>
    </w:p>
    <w:p w14:paraId="68EF7B03" w14:textId="65D0BEF5" w:rsidR="00B67369" w:rsidRDefault="00B67369" w:rsidP="00B67369">
      <w:pPr>
        <w:pStyle w:val="Heading3"/>
      </w:pPr>
      <w:bookmarkStart w:id="96" w:name="_Toc69480721"/>
      <w:r>
        <w:t>Minta Farm PSP</w:t>
      </w:r>
      <w:bookmarkEnd w:id="96"/>
      <w:r>
        <w:t xml:space="preserve"> </w:t>
      </w:r>
    </w:p>
    <w:p w14:paraId="1995B1D2" w14:textId="77777777" w:rsidR="006B4839" w:rsidRDefault="00B67369" w:rsidP="00BE0941">
      <w:pPr>
        <w:pStyle w:val="Para0"/>
      </w:pPr>
      <w:r>
        <w:t xml:space="preserve">Key risks associated with the Minta Farm PSP relate to construction impacts </w:t>
      </w:r>
      <w:r w:rsidR="006B4839">
        <w:t>associated with outfall construction, Pond 2 decommissioning and Pond 3 embankment rectification.  Recommendations are:</w:t>
      </w:r>
    </w:p>
    <w:p w14:paraId="4717D2D8" w14:textId="5ACEE06A" w:rsidR="006B4839" w:rsidRDefault="006B4839" w:rsidP="007151E4">
      <w:pPr>
        <w:pStyle w:val="Para0bullet"/>
      </w:pPr>
      <w:r>
        <w:t>That ecological principles are incorporated into all design and construction activities in the vicinity of the Cardinia Creek anabranch</w:t>
      </w:r>
      <w:r w:rsidR="007151E4">
        <w:t>, including all temporary and permanent works associated with outfall and embankment construction</w:t>
      </w:r>
      <w:r>
        <w:t>.</w:t>
      </w:r>
    </w:p>
    <w:p w14:paraId="3C5BC196" w14:textId="77777777" w:rsidR="006B4839" w:rsidRDefault="006B4839" w:rsidP="007151E4">
      <w:pPr>
        <w:pStyle w:val="Para0bullet"/>
      </w:pPr>
      <w:r>
        <w:t>That the design for the Pond 2 decommissioning consider opportunities for incorporating dwarf galaxias and growling grass frog habitat elements into the restored floodplain habitat</w:t>
      </w:r>
    </w:p>
    <w:p w14:paraId="3006C9C7" w14:textId="77777777" w:rsidR="007151E4" w:rsidRDefault="006B4839" w:rsidP="007151E4">
      <w:pPr>
        <w:pStyle w:val="Para0bullet"/>
      </w:pPr>
      <w:r>
        <w:t>That the overflow from the Pond 3 ephemeral zone incorporates</w:t>
      </w:r>
      <w:r w:rsidR="007151E4">
        <w:t xml:space="preserve"> the ability to manipulate flow releases into the dwarf galaxias anabranch as part of an adaptive management plan for the protection of dwarf galaxias habitat.</w:t>
      </w:r>
    </w:p>
    <w:p w14:paraId="5949F451" w14:textId="2F17FBA0" w:rsidR="00B67369" w:rsidRDefault="007151E4" w:rsidP="007151E4">
      <w:pPr>
        <w:pStyle w:val="Para0bullet"/>
      </w:pPr>
      <w:r>
        <w:t xml:space="preserve">That opportunities for incorporation of new dwarf galaxias and growling grass frog habitat  is considered and incorporated into the establishment of the Cardinia Creek Conservation Zone (see </w:t>
      </w:r>
      <w:r>
        <w:fldChar w:fldCharType="begin"/>
      </w:r>
      <w:r>
        <w:instrText xml:space="preserve"> REF _Ref42877150 \w \h  \* MERGEFORMAT </w:instrText>
      </w:r>
      <w:r>
        <w:fldChar w:fldCharType="separate"/>
      </w:r>
      <w:r w:rsidR="00BE5F47">
        <w:t>Appendix C</w:t>
      </w:r>
      <w:r>
        <w:fldChar w:fldCharType="end"/>
      </w:r>
      <w:r>
        <w:t xml:space="preserve"> for preliminary mapping of potential wetland locations within the proposed conservation zone).</w:t>
      </w:r>
    </w:p>
    <w:p w14:paraId="4541E8E0" w14:textId="407FFC88" w:rsidR="00B67369" w:rsidRDefault="00B67369" w:rsidP="00B67369">
      <w:pPr>
        <w:pStyle w:val="Heading3"/>
      </w:pPr>
      <w:bookmarkStart w:id="97" w:name="_Toc69480722"/>
      <w:r>
        <w:t>Officer South</w:t>
      </w:r>
      <w:r w:rsidR="00E110AF">
        <w:t xml:space="preserve"> Employment</w:t>
      </w:r>
      <w:r>
        <w:t xml:space="preserve"> and Cardinia South PSPs</w:t>
      </w:r>
      <w:bookmarkEnd w:id="97"/>
    </w:p>
    <w:p w14:paraId="62AB8978" w14:textId="7C9769FB" w:rsidR="00B67369" w:rsidRDefault="00207744" w:rsidP="00BE0941">
      <w:pPr>
        <w:pStyle w:val="Para0"/>
      </w:pPr>
      <w:r>
        <w:t>The critical risk</w:t>
      </w:r>
      <w:r w:rsidR="00BE0941">
        <w:t>s</w:t>
      </w:r>
      <w:r>
        <w:t xml:space="preserve"> </w:t>
      </w:r>
      <w:r w:rsidR="007151E4">
        <w:t xml:space="preserve">associated with </w:t>
      </w:r>
      <w:r w:rsidR="0023198F">
        <w:t>Officer South Employment PSP</w:t>
      </w:r>
      <w:r w:rsidR="007151E4">
        <w:t xml:space="preserve"> (and to a lesser degree Cardinia South PSP) relates </w:t>
      </w:r>
      <w:r>
        <w:t xml:space="preserve">to high peak hourly flows from the </w:t>
      </w:r>
      <w:r w:rsidR="00B67369">
        <w:t xml:space="preserve">proposed </w:t>
      </w:r>
      <w:r>
        <w:t xml:space="preserve">outfall. </w:t>
      </w:r>
      <w:r w:rsidR="00B67369">
        <w:t xml:space="preserve"> The Officer South drainage scheme design</w:t>
      </w:r>
      <w:r w:rsidR="007151E4">
        <w:t xml:space="preserve">, in </w:t>
      </w:r>
      <w:r w:rsidR="007151E4">
        <w:lastRenderedPageBreak/>
        <w:t xml:space="preserve">particular, </w:t>
      </w:r>
      <w:r w:rsidR="00B67369">
        <w:t xml:space="preserve">is nearly ten years old and requires revision to more clearly identify opportunities to reduce peak flow rates. </w:t>
      </w:r>
    </w:p>
    <w:p w14:paraId="5793353C" w14:textId="0C0C06A0" w:rsidR="00207744" w:rsidRDefault="00207744" w:rsidP="00BE0941">
      <w:pPr>
        <w:pStyle w:val="Para0"/>
      </w:pPr>
      <w:r>
        <w:t>Such recommendation</w:t>
      </w:r>
      <w:r w:rsidR="00B67369">
        <w:t>s</w:t>
      </w:r>
      <w:r>
        <w:t xml:space="preserve"> ha</w:t>
      </w:r>
      <w:r w:rsidR="00B67369">
        <w:t>ve</w:t>
      </w:r>
      <w:r>
        <w:t xml:space="preserve"> been previously made in the development of the Officer South DSS requirements as quoted below by Stormy Solutions</w:t>
      </w:r>
      <w:r w:rsidR="00BE0941">
        <w:t xml:space="preserve"> (2011)</w:t>
      </w:r>
      <w:r w:rsidR="00B67369">
        <w:t xml:space="preserve">, however, it would appear that specific peak flow reduction has not been achieved in the current design. </w:t>
      </w:r>
    </w:p>
    <w:p w14:paraId="456E369B" w14:textId="77777777" w:rsidR="00207744" w:rsidRPr="00BB7992" w:rsidRDefault="00207744" w:rsidP="00207744">
      <w:pPr>
        <w:pStyle w:val="DocumentDate"/>
        <w:ind w:left="1134"/>
        <w:rPr>
          <w:i/>
        </w:rPr>
      </w:pPr>
      <w:bookmarkStart w:id="98" w:name="_Hlk42684805"/>
      <w:r>
        <w:rPr>
          <w:i/>
        </w:rPr>
        <w:t>“</w:t>
      </w:r>
      <w:r w:rsidRPr="00BB7992">
        <w:rPr>
          <w:i/>
        </w:rPr>
        <w:t>Development of the functional design of these elements must include clearly defining the current low flow regimes (volume, frequency, and duration) to the Cardinia Creek outfall. Flow regimes will need to be maintained post development in order to protect the existing ecology and channel morphology of the creek. It is proposed to use the extended detention range in all wetlands to control frequent flows from the developed areas to meet this requirement. This aspect of the design must be formulated during the functional design process.</w:t>
      </w:r>
      <w:r>
        <w:rPr>
          <w:i/>
        </w:rPr>
        <w:t>”</w:t>
      </w:r>
    </w:p>
    <w:bookmarkEnd w:id="98"/>
    <w:p w14:paraId="197FF256" w14:textId="5012380C" w:rsidR="007151E4" w:rsidRDefault="007151E4" w:rsidP="00BE0941">
      <w:pPr>
        <w:pStyle w:val="Para0"/>
      </w:pPr>
      <w:r>
        <w:t xml:space="preserve">It is recommended that the Officer South </w:t>
      </w:r>
      <w:r w:rsidR="00011585">
        <w:t xml:space="preserve">Employment </w:t>
      </w:r>
      <w:r>
        <w:t xml:space="preserve">and Cardinia South PSP drainage designs be reviewed with the intent of identifying </w:t>
      </w:r>
      <w:r w:rsidR="00D040E1">
        <w:t>opportunities</w:t>
      </w:r>
      <w:r>
        <w:t xml:space="preserve"> to reduce peak flow rates, maintain the current frequency and duration of flows in Cardinia Creek that exceed bed mobilisations flows (370 ML/d at Chasemore Road) and limit where possible the increase in magnitude of the 1:1-1:5 year ARI events.</w:t>
      </w:r>
      <w:r w:rsidR="00D040E1">
        <w:t xml:space="preserve">  The reviews need to consider the cumulative impacts of the two PSPs on creek flows.</w:t>
      </w:r>
    </w:p>
    <w:p w14:paraId="245D11C1" w14:textId="77777777" w:rsidR="007151E4" w:rsidRDefault="007151E4" w:rsidP="007151E4">
      <w:pPr>
        <w:pStyle w:val="Heading2"/>
      </w:pPr>
      <w:bookmarkStart w:id="99" w:name="_Toc69480723"/>
      <w:r>
        <w:t>Next steps</w:t>
      </w:r>
      <w:bookmarkEnd w:id="99"/>
    </w:p>
    <w:p w14:paraId="008DDBA1" w14:textId="62A2A73F" w:rsidR="00F11047" w:rsidRPr="00F538ED" w:rsidRDefault="00F11047" w:rsidP="00F11047">
      <w:pPr>
        <w:pStyle w:val="Para0"/>
      </w:pPr>
      <w:r>
        <w:t xml:space="preserve">The results of this work will be used by Melbourne Water to assist in the review and update of drainage designs in the Officer South </w:t>
      </w:r>
      <w:r w:rsidR="00011585">
        <w:t xml:space="preserve">Employment </w:t>
      </w:r>
      <w:r>
        <w:t>and Cardinia South PSPs (currently being undertaken) to identify potential solutions to mitigating peak flows.  These solutions will be modelled through MUSIC modelling and compared with the current outfall regimes to test if risks can be reduced.</w:t>
      </w:r>
    </w:p>
    <w:p w14:paraId="3A762C60" w14:textId="77777777" w:rsidR="00207744" w:rsidRDefault="00207744" w:rsidP="00BC2ED5">
      <w:pPr>
        <w:pStyle w:val="Para0"/>
      </w:pPr>
    </w:p>
    <w:p w14:paraId="29722CB5" w14:textId="77777777" w:rsidR="00207744" w:rsidRDefault="00207744" w:rsidP="00BC2ED5">
      <w:pPr>
        <w:pStyle w:val="Para0"/>
      </w:pPr>
    </w:p>
    <w:p w14:paraId="3FD48770" w14:textId="3602E78A" w:rsidR="0004420D" w:rsidRPr="00BC2ED5" w:rsidRDefault="0004420D" w:rsidP="0004420D">
      <w:pPr>
        <w:pStyle w:val="Para0bullet"/>
        <w:numPr>
          <w:ilvl w:val="0"/>
          <w:numId w:val="0"/>
        </w:numPr>
        <w:ind w:left="425" w:hanging="425"/>
      </w:pPr>
    </w:p>
    <w:p w14:paraId="5BDFD3AF" w14:textId="2ADEBBB7" w:rsidR="0072194C" w:rsidRDefault="00552BFB" w:rsidP="0072194C">
      <w:pPr>
        <w:pStyle w:val="Heading1"/>
      </w:pPr>
      <w:bookmarkStart w:id="100" w:name="_Toc69480724"/>
      <w:r>
        <w:lastRenderedPageBreak/>
        <w:t>Re</w:t>
      </w:r>
      <w:r w:rsidR="0072194C">
        <w:t>ferences</w:t>
      </w:r>
      <w:bookmarkEnd w:id="100"/>
    </w:p>
    <w:p w14:paraId="73584EBB" w14:textId="1DBB3D42" w:rsidR="00394855" w:rsidRDefault="00394855" w:rsidP="00394855">
      <w:pPr>
        <w:pStyle w:val="EndNoteBibliography"/>
        <w:spacing w:after="0"/>
        <w:ind w:left="720" w:hanging="720"/>
      </w:pPr>
      <w:r>
        <w:t xml:space="preserve">Alluvium 2016, Stormwater Management Strategy - McPherson Precinct Structure Plan. Report prepared for </w:t>
      </w:r>
    </w:p>
    <w:p w14:paraId="1E828AE2" w14:textId="77777777" w:rsidR="00394855" w:rsidRDefault="00394855" w:rsidP="00F11047">
      <w:pPr>
        <w:pStyle w:val="EndNoteBibliography"/>
        <w:spacing w:after="0"/>
        <w:ind w:left="720"/>
      </w:pPr>
      <w:r>
        <w:t>the Regional Planning Authority</w:t>
      </w:r>
    </w:p>
    <w:p w14:paraId="67EA1E05" w14:textId="61589615" w:rsidR="00394855" w:rsidRDefault="00394855" w:rsidP="00394855">
      <w:pPr>
        <w:pStyle w:val="EndNoteBibliography"/>
        <w:spacing w:after="0"/>
        <w:ind w:left="720" w:hanging="720"/>
      </w:pPr>
      <w:r>
        <w:t>Alluvium (2018) Review of the Cardinia Creek Conservation Area Austrlain Grayling and Dwarf Galaxia Assessment – Hydrological modelling. Report produced for Melbourne Water, Victoria.</w:t>
      </w:r>
    </w:p>
    <w:p w14:paraId="7312728B" w14:textId="3422FD4A" w:rsidR="007B1DE3" w:rsidRPr="007B1DE3" w:rsidRDefault="007B1DE3" w:rsidP="00F755FB">
      <w:pPr>
        <w:pStyle w:val="EndNoteBibliography"/>
        <w:spacing w:after="0"/>
        <w:ind w:left="720" w:hanging="720"/>
      </w:pPr>
      <w:r w:rsidRPr="00F755FB">
        <w:t>Alluvium (2019) Preliminary Functional Design Report. Minta Farm Drainage Strategy, Wetland System and Outfalls into the Cardinia Creek. August 2019</w:t>
      </w:r>
    </w:p>
    <w:p w14:paraId="2A1361A2" w14:textId="7C511FA4" w:rsidR="00F755FB" w:rsidRPr="00F755FB" w:rsidRDefault="00CD55F0" w:rsidP="00F755FB">
      <w:pPr>
        <w:pStyle w:val="EndNoteBibliography"/>
        <w:spacing w:after="0"/>
        <w:ind w:left="720" w:hanging="720"/>
      </w:pPr>
      <w:r>
        <w:fldChar w:fldCharType="begin"/>
      </w:r>
      <w:r>
        <w:instrText xml:space="preserve"> ADDIN EN.REFLIST </w:instrText>
      </w:r>
      <w:r>
        <w:fldChar w:fldCharType="separate"/>
      </w:r>
      <w:r w:rsidR="00F755FB" w:rsidRPr="00F755FB">
        <w:t xml:space="preserve">Amtstaetter, F., O’Connor, J., Tonkin, Z., Koster, W., Stuart, I. &amp; Hale, R. (2019) </w:t>
      </w:r>
      <w:r w:rsidR="00F755FB" w:rsidRPr="00F755FB">
        <w:rPr>
          <w:i/>
        </w:rPr>
        <w:t xml:space="preserve">VEFMAP Stage 6: Monitoring fish response to environmental flow delivery in Victorian coastal rivers, </w:t>
      </w:r>
      <w:r w:rsidR="00F755FB" w:rsidRPr="00F755FB">
        <w:t>Unpublished Client Report for the Water and Catchments Group. Arthur Rylah Institute for Environmental Research, Department of Environment, Land, Water and Planning, Heidelberg, Victoria.</w:t>
      </w:r>
    </w:p>
    <w:p w14:paraId="0307AA78" w14:textId="109B7E71" w:rsidR="00B537FB" w:rsidRPr="005C5ACF" w:rsidRDefault="00B537FB" w:rsidP="00F11047">
      <w:pPr>
        <w:pStyle w:val="EndNoteBibliography"/>
        <w:spacing w:after="0"/>
        <w:ind w:left="720" w:hanging="720"/>
      </w:pPr>
      <w:r w:rsidRPr="00FB38EA">
        <w:t xml:space="preserve">Ball J, Babister M, Nathan R, Weeks W, Weinmann E, Retallick M, Testoni I, (Editors) Australian Rainfall and Runoff: A Guide to Flood Estimation, © Commonwealth of Australia (Geoscience Australia), </w:t>
      </w:r>
      <w:r>
        <w:t>2019</w:t>
      </w:r>
      <w:r w:rsidRPr="00FB38EA">
        <w:t>.</w:t>
      </w:r>
    </w:p>
    <w:p w14:paraId="43C75330" w14:textId="77777777" w:rsidR="00F755FB" w:rsidRPr="00F755FB" w:rsidRDefault="00F755FB" w:rsidP="00F755FB">
      <w:pPr>
        <w:pStyle w:val="EndNoteBibliography"/>
        <w:spacing w:after="0"/>
        <w:ind w:left="720" w:hanging="720"/>
      </w:pPr>
      <w:r w:rsidRPr="00F755FB">
        <w:t xml:space="preserve">Berra, T.M. (1982) Life history of the Australian grayling, </w:t>
      </w:r>
      <w:r w:rsidRPr="00F11047">
        <w:t>Prototroctes maraena</w:t>
      </w:r>
      <w:r w:rsidRPr="00F755FB">
        <w:t xml:space="preserve"> (Salmonifromed: Prototroctidae) in the Tambo River, Vctoria. </w:t>
      </w:r>
      <w:r w:rsidRPr="00F755FB">
        <w:rPr>
          <w:i/>
        </w:rPr>
        <w:t>Copeia</w:t>
      </w:r>
      <w:r w:rsidRPr="00F755FB">
        <w:rPr>
          <w:b/>
        </w:rPr>
        <w:t>:</w:t>
      </w:r>
      <w:r w:rsidRPr="00F755FB">
        <w:t xml:space="preserve"> 795-805.</w:t>
      </w:r>
    </w:p>
    <w:p w14:paraId="34F1602F" w14:textId="77777777" w:rsidR="00F755FB" w:rsidRPr="00F755FB" w:rsidRDefault="00F755FB" w:rsidP="00F755FB">
      <w:pPr>
        <w:pStyle w:val="EndNoteBibliography"/>
        <w:spacing w:after="0"/>
        <w:ind w:left="720" w:hanging="720"/>
      </w:pPr>
      <w:r w:rsidRPr="00F755FB">
        <w:t xml:space="preserve">Biosis (2012) </w:t>
      </w:r>
      <w:r w:rsidRPr="00F755FB">
        <w:rPr>
          <w:i/>
        </w:rPr>
        <w:t>Melbourne's Strategic Assessment: Dwarf galaxias surveys for the South East Growth Corridor</w:t>
      </w:r>
      <w:r w:rsidRPr="00F755FB">
        <w:t>.</w:t>
      </w:r>
    </w:p>
    <w:p w14:paraId="4446F2F3" w14:textId="77777777" w:rsidR="00F755FB" w:rsidRPr="0021172D" w:rsidRDefault="00F755FB" w:rsidP="00F755FB">
      <w:pPr>
        <w:pStyle w:val="EndNoteBibliography"/>
        <w:spacing w:after="0"/>
        <w:ind w:left="720" w:hanging="720"/>
      </w:pPr>
      <w:r w:rsidRPr="0021172D">
        <w:t xml:space="preserve">DEPI (2013a) </w:t>
      </w:r>
      <w:r w:rsidRPr="0021172D">
        <w:rPr>
          <w:i/>
        </w:rPr>
        <w:t>Biodiversity Conservation Strategy for Melbourne’s Growth Corridors</w:t>
      </w:r>
      <w:r w:rsidRPr="0021172D">
        <w:t>.</w:t>
      </w:r>
    </w:p>
    <w:p w14:paraId="70E32BDE" w14:textId="77777777" w:rsidR="00F755FB" w:rsidRPr="0021172D" w:rsidRDefault="00F755FB" w:rsidP="00F755FB">
      <w:pPr>
        <w:pStyle w:val="EndNoteBibliography"/>
        <w:spacing w:after="0"/>
        <w:ind w:left="720" w:hanging="720"/>
      </w:pPr>
      <w:r w:rsidRPr="0021172D">
        <w:t xml:space="preserve">DEPI (2013b) </w:t>
      </w:r>
      <w:r w:rsidRPr="0021172D">
        <w:rPr>
          <w:i/>
        </w:rPr>
        <w:t xml:space="preserve">FLOWS - a method for determining environmental water requirements in Victoria. Edition 2, </w:t>
      </w:r>
      <w:r w:rsidRPr="0021172D">
        <w:t>Department of Environment and Primary Industries, Melbourne.</w:t>
      </w:r>
    </w:p>
    <w:p w14:paraId="76322F42" w14:textId="77777777" w:rsidR="003A1CE9" w:rsidRPr="00F11047" w:rsidRDefault="003A1CE9" w:rsidP="00F11047">
      <w:pPr>
        <w:pStyle w:val="EndNoteBibliography"/>
        <w:spacing w:after="0"/>
        <w:ind w:left="720" w:hanging="720"/>
      </w:pPr>
      <w:r>
        <w:t>Chiew FHS, Peel MC, Western AW (2002) Application and testing of the simple rainfall-runoff model SIMHYD. In: Singh VP, Frevert DK (eds) Mathematical models of small watershed hydrology and applications. Colorado. Water Resource Publication, p. 335-67. ISBN: 1887201351</w:t>
      </w:r>
    </w:p>
    <w:p w14:paraId="7E22134E" w14:textId="729DA443" w:rsidR="00F755FB" w:rsidRDefault="00F755FB" w:rsidP="00F755FB">
      <w:pPr>
        <w:pStyle w:val="EndNoteBibliography"/>
        <w:spacing w:after="0"/>
        <w:ind w:left="720" w:hanging="720"/>
      </w:pPr>
      <w:r w:rsidRPr="00F755FB">
        <w:t xml:space="preserve">Crook, D.A., Macdonald, J.I., O’Connor, J.P. &amp; Barry, B. (2006) Use of otolith chemistry to examine patterns of diadromy in the threatened Australian grayling </w:t>
      </w:r>
      <w:r w:rsidRPr="00F755FB">
        <w:rPr>
          <w:i/>
        </w:rPr>
        <w:t>Prototroctes maraena</w:t>
      </w:r>
      <w:r w:rsidRPr="00F755FB">
        <w:t xml:space="preserve">. </w:t>
      </w:r>
      <w:r w:rsidRPr="00F755FB">
        <w:rPr>
          <w:i/>
        </w:rPr>
        <w:t>Journal of Fish Biology,</w:t>
      </w:r>
      <w:r w:rsidRPr="00F755FB">
        <w:t xml:space="preserve"> </w:t>
      </w:r>
      <w:r w:rsidRPr="00F755FB">
        <w:rPr>
          <w:b/>
        </w:rPr>
        <w:t>69:</w:t>
      </w:r>
      <w:r w:rsidRPr="00F755FB">
        <w:t xml:space="preserve"> 1330-1344.</w:t>
      </w:r>
    </w:p>
    <w:p w14:paraId="44BA17A3" w14:textId="77777777" w:rsidR="00394855" w:rsidRDefault="00394855" w:rsidP="00394855">
      <w:pPr>
        <w:pStyle w:val="EndNoteBibliography"/>
        <w:spacing w:after="0"/>
        <w:ind w:left="720" w:hanging="720"/>
      </w:pPr>
      <w:r>
        <w:t xml:space="preserve">Cuddy SM, T Weber, L Cetin, S Wilkinson, D Gonzalez, A Freebairn, RA Coleman, A Gamboa Rocha, P </w:t>
      </w:r>
    </w:p>
    <w:p w14:paraId="3E439042" w14:textId="77777777" w:rsidR="00394855" w:rsidRPr="00DC0037" w:rsidRDefault="00394855" w:rsidP="00394855">
      <w:pPr>
        <w:pStyle w:val="EndNoteBibliography"/>
        <w:spacing w:after="0"/>
        <w:ind w:left="720" w:hanging="720"/>
      </w:pPr>
      <w:r w:rsidRPr="00A13F0F">
        <w:t>DELWP (2016) Guidelines for Assessing the Impact of Climate Change on Water Supplies in Victoria, Version 7.0, The State of Victoria Department of Environment, Land, Water and Planning.</w:t>
      </w:r>
    </w:p>
    <w:p w14:paraId="7849BA2C" w14:textId="77777777" w:rsidR="00F755FB" w:rsidRPr="00F755FB" w:rsidRDefault="00F755FB" w:rsidP="00F755FB">
      <w:pPr>
        <w:pStyle w:val="EndNoteBibliography"/>
        <w:spacing w:after="0"/>
        <w:ind w:left="720" w:hanging="720"/>
      </w:pPr>
      <w:r w:rsidRPr="00F755FB">
        <w:t xml:space="preserve">Doeg, T.J. (2012) </w:t>
      </w:r>
      <w:r w:rsidRPr="00F755FB">
        <w:rPr>
          <w:i/>
        </w:rPr>
        <w:t>Assessment of the passing flows regime from Cardinia Reservoir</w:t>
      </w:r>
      <w:r w:rsidRPr="00F755FB">
        <w:t>.</w:t>
      </w:r>
    </w:p>
    <w:p w14:paraId="57CD8F07" w14:textId="77777777" w:rsidR="00F755FB" w:rsidRPr="00F755FB" w:rsidRDefault="00F755FB" w:rsidP="00F755FB">
      <w:pPr>
        <w:pStyle w:val="EndNoteBibliography"/>
        <w:spacing w:after="0"/>
        <w:ind w:left="720" w:hanging="720"/>
      </w:pPr>
      <w:r w:rsidRPr="00F755FB">
        <w:t xml:space="preserve">Duncan, H.P., Fletcher, T.D., Vietz, G. &amp; Urrutiaguer, M. (2014) </w:t>
      </w:r>
      <w:r w:rsidRPr="00F755FB">
        <w:rPr>
          <w:i/>
        </w:rPr>
        <w:t xml:space="preserve">The feasibility of maintaining ecologically and geomorphically important elements of the natural flow regime in the context of a superabundance of flow, </w:t>
      </w:r>
      <w:r w:rsidRPr="00F755FB">
        <w:t>Melbourne Waterway Research-Practice Partnership Technical Report. 14.5.</w:t>
      </w:r>
    </w:p>
    <w:p w14:paraId="15E960FB" w14:textId="77777777" w:rsidR="00F755FB" w:rsidRPr="00F755FB" w:rsidRDefault="00F755FB" w:rsidP="00F755FB">
      <w:pPr>
        <w:pStyle w:val="EndNoteBibliography"/>
        <w:spacing w:after="0"/>
        <w:ind w:left="720" w:hanging="720"/>
      </w:pPr>
      <w:r w:rsidRPr="00F755FB">
        <w:t xml:space="preserve">Ecology Australia (2019) </w:t>
      </w:r>
      <w:r w:rsidRPr="00F755FB">
        <w:rPr>
          <w:i/>
        </w:rPr>
        <w:t xml:space="preserve">Cardinia Creek fishway monitoring, </w:t>
      </w:r>
      <w:r w:rsidRPr="00F755FB">
        <w:t>Report to Melbourne Water.</w:t>
      </w:r>
    </w:p>
    <w:p w14:paraId="16C539E9" w14:textId="77777777" w:rsidR="00F755FB" w:rsidRPr="00F755FB" w:rsidRDefault="00F755FB" w:rsidP="00F755FB">
      <w:pPr>
        <w:pStyle w:val="EndNoteBibliography"/>
        <w:spacing w:after="0"/>
        <w:ind w:left="720" w:hanging="720"/>
      </w:pPr>
      <w:r w:rsidRPr="00F755FB">
        <w:t xml:space="preserve">GHD (2017) </w:t>
      </w:r>
      <w:r w:rsidRPr="00F755FB">
        <w:rPr>
          <w:i/>
        </w:rPr>
        <w:t>Cardinia Creek conservation area Australian grayling and dwarf galaxias assessment</w:t>
      </w:r>
      <w:r w:rsidRPr="00F755FB">
        <w:t>.</w:t>
      </w:r>
    </w:p>
    <w:p w14:paraId="2FFAB329" w14:textId="77777777" w:rsidR="00F755FB" w:rsidRPr="00F755FB" w:rsidRDefault="00F755FB" w:rsidP="00F755FB">
      <w:pPr>
        <w:pStyle w:val="EndNoteBibliography"/>
        <w:spacing w:after="0"/>
        <w:ind w:left="720" w:hanging="720"/>
      </w:pPr>
      <w:r w:rsidRPr="00F755FB">
        <w:t xml:space="preserve">Gordon, N.D., McMahon, T.A., Finlayson, B.L., Gippel, C.J. &amp; Nathan, R.J. (2004) </w:t>
      </w:r>
      <w:r w:rsidRPr="00F755FB">
        <w:rPr>
          <w:i/>
        </w:rPr>
        <w:t xml:space="preserve">Stream Hydrology: An Introduction for Ecologists, </w:t>
      </w:r>
      <w:r w:rsidRPr="00F755FB">
        <w:t>John Wiley &amp; Sons, Chichester.</w:t>
      </w:r>
    </w:p>
    <w:p w14:paraId="10DDB930" w14:textId="77777777" w:rsidR="00F755FB" w:rsidRPr="00F755FB" w:rsidRDefault="00F755FB" w:rsidP="00F755FB">
      <w:pPr>
        <w:pStyle w:val="EndNoteBibliography"/>
        <w:spacing w:after="0"/>
        <w:ind w:left="720" w:hanging="720"/>
      </w:pPr>
      <w:r w:rsidRPr="00F755FB">
        <w:t xml:space="preserve">Jacobs (2019) </w:t>
      </w:r>
      <w:r w:rsidRPr="00F755FB">
        <w:rPr>
          <w:i/>
        </w:rPr>
        <w:t>Cardinia Creek Conservation Area Hydrology and Fish Investigation: Methods statement</w:t>
      </w:r>
      <w:r w:rsidRPr="00F755FB">
        <w:t>.</w:t>
      </w:r>
    </w:p>
    <w:p w14:paraId="5EA77840" w14:textId="77777777" w:rsidR="00F755FB" w:rsidRPr="00F755FB" w:rsidRDefault="00F755FB" w:rsidP="00F755FB">
      <w:pPr>
        <w:pStyle w:val="EndNoteBibliography"/>
        <w:spacing w:after="0"/>
        <w:ind w:left="720" w:hanging="720"/>
      </w:pPr>
      <w:r w:rsidRPr="00F755FB">
        <w:t xml:space="preserve">Jacobs (2020) </w:t>
      </w:r>
      <w:r w:rsidRPr="00F755FB">
        <w:rPr>
          <w:i/>
        </w:rPr>
        <w:t>Cardinia Creek Conservation Area Hydrology and Fish Investigation: Modelling Outcomes</w:t>
      </w:r>
      <w:r w:rsidRPr="00F755FB">
        <w:t>.</w:t>
      </w:r>
    </w:p>
    <w:p w14:paraId="38B90B67" w14:textId="77777777" w:rsidR="00F755FB" w:rsidRPr="00F755FB" w:rsidRDefault="00F755FB" w:rsidP="00F755FB">
      <w:pPr>
        <w:pStyle w:val="EndNoteBibliography"/>
        <w:spacing w:after="0"/>
        <w:ind w:left="720" w:hanging="720"/>
      </w:pPr>
      <w:r w:rsidRPr="00F755FB">
        <w:t xml:space="preserve">Koster, W.M., Dawson, D.R. &amp; Crook, D.A. (2013) Downstream spawning migration by the amphidromous Australian grayling (&lt;i&gt;Prototroctes maraena&lt;/i&gt;) in a coastal river in south-eastern Australia. </w:t>
      </w:r>
      <w:r w:rsidRPr="00F755FB">
        <w:rPr>
          <w:i/>
        </w:rPr>
        <w:t>Marine and Freshwater Research,</w:t>
      </w:r>
      <w:r w:rsidRPr="00F755FB">
        <w:t xml:space="preserve"> </w:t>
      </w:r>
      <w:r w:rsidRPr="00F755FB">
        <w:rPr>
          <w:b/>
        </w:rPr>
        <w:t>64:</w:t>
      </w:r>
      <w:r w:rsidRPr="00F755FB">
        <w:t xml:space="preserve"> 31-41.</w:t>
      </w:r>
    </w:p>
    <w:p w14:paraId="65A0A7EA" w14:textId="77777777" w:rsidR="00F755FB" w:rsidRPr="00F755FB" w:rsidRDefault="00F755FB" w:rsidP="00F755FB">
      <w:pPr>
        <w:pStyle w:val="EndNoteBibliography"/>
        <w:spacing w:after="0"/>
        <w:ind w:left="720" w:hanging="720"/>
      </w:pPr>
      <w:r w:rsidRPr="00F755FB">
        <w:t>McDowall, R.M. (1996) Freshwater fish of south-eastern Australia. Reed Books, Sydney.</w:t>
      </w:r>
    </w:p>
    <w:p w14:paraId="197D1A77" w14:textId="77777777" w:rsidR="00F755FB" w:rsidRPr="00F755FB" w:rsidRDefault="00F755FB" w:rsidP="00F755FB">
      <w:pPr>
        <w:pStyle w:val="EndNoteBibliography"/>
        <w:spacing w:after="0"/>
        <w:ind w:left="720" w:hanging="720"/>
      </w:pPr>
      <w:r w:rsidRPr="00F755FB">
        <w:t>O'Connor, J.P. &amp; Mahoney, J.C. (2004) Observations of ovarian involution in the Australian grayling (</w:t>
      </w:r>
      <w:r w:rsidRPr="00F755FB">
        <w:rPr>
          <w:i/>
        </w:rPr>
        <w:t>Prototroctes mareana</w:t>
      </w:r>
      <w:r w:rsidRPr="00F755FB">
        <w:t xml:space="preserve">). </w:t>
      </w:r>
      <w:r w:rsidRPr="00F755FB">
        <w:rPr>
          <w:i/>
        </w:rPr>
        <w:t>Ecology of Freshwater Fish,</w:t>
      </w:r>
      <w:r w:rsidRPr="00F755FB">
        <w:t xml:space="preserve"> </w:t>
      </w:r>
      <w:r w:rsidRPr="00F755FB">
        <w:rPr>
          <w:b/>
        </w:rPr>
        <w:t>13:</w:t>
      </w:r>
      <w:r w:rsidRPr="00F755FB">
        <w:t xml:space="preserve"> 70-73.</w:t>
      </w:r>
    </w:p>
    <w:p w14:paraId="43D58874" w14:textId="3C9E59D6" w:rsidR="00F755FB" w:rsidRDefault="00F755FB" w:rsidP="00F755FB">
      <w:pPr>
        <w:pStyle w:val="EndNoteBibliography"/>
        <w:spacing w:after="0"/>
        <w:ind w:left="720" w:hanging="720"/>
      </w:pPr>
      <w:r w:rsidRPr="00F755FB">
        <w:t xml:space="preserve">Sadlier, S., Jackson, J. &amp; Hammer, M. (2010) </w:t>
      </w:r>
      <w:r w:rsidRPr="00F755FB">
        <w:rPr>
          <w:i/>
        </w:rPr>
        <w:t xml:space="preserve">National recovery plan for the dwarf galxias Galaxiella pusilla, </w:t>
      </w:r>
      <w:r w:rsidRPr="00F755FB">
        <w:t>Victorian Department of Sustainability and Environment, Melbourne.</w:t>
      </w:r>
    </w:p>
    <w:p w14:paraId="0468D262" w14:textId="77777777" w:rsidR="00394855" w:rsidRPr="00DC0037" w:rsidRDefault="00394855" w:rsidP="00394855">
      <w:pPr>
        <w:pStyle w:val="EndNoteBibliography"/>
        <w:spacing w:after="0"/>
        <w:ind w:left="720" w:hanging="720"/>
      </w:pPr>
      <w:r>
        <w:t>Stormy Water Solutions (2011) Officer South Development Services Scheme. Report prepared for Melbourne Water.</w:t>
      </w:r>
    </w:p>
    <w:p w14:paraId="24C13230" w14:textId="77777777" w:rsidR="00F755FB" w:rsidRPr="00F755FB" w:rsidRDefault="00F755FB" w:rsidP="00F755FB">
      <w:pPr>
        <w:pStyle w:val="EndNoteBibliography"/>
        <w:ind w:left="720" w:hanging="720"/>
      </w:pPr>
      <w:r w:rsidRPr="00F755FB">
        <w:t xml:space="preserve">Treadwell, S. &amp; Sandercock, P. (2017) Using science and hydraulics to inform stormwater management for improved river health outcomes: How much stream flow is too much? In: </w:t>
      </w:r>
      <w:r w:rsidRPr="00F755FB">
        <w:rPr>
          <w:i/>
        </w:rPr>
        <w:t xml:space="preserve">2017 Victorian Stormwater Management Conference. </w:t>
      </w:r>
      <w:r w:rsidRPr="00F755FB">
        <w:t>(Ed^Eds.</w:t>
      </w:r>
    </w:p>
    <w:p w14:paraId="3722D796" w14:textId="4F846270" w:rsidR="00CD55F0" w:rsidRPr="00BB7F95" w:rsidRDefault="00CD55F0" w:rsidP="00CD55F0">
      <w:pPr>
        <w:pStyle w:val="Para0"/>
        <w:sectPr w:rsidR="00CD55F0" w:rsidRPr="00BB7F95" w:rsidSect="007C660D">
          <w:headerReference w:type="default" r:id="rId62"/>
          <w:footerReference w:type="default" r:id="rId63"/>
          <w:pgSz w:w="11901" w:h="16840" w:code="9"/>
          <w:pgMar w:top="567" w:right="851" w:bottom="851" w:left="1134" w:header="567" w:footer="370" w:gutter="0"/>
          <w:cols w:space="0"/>
          <w:formProt w:val="0"/>
          <w:docGrid w:linePitch="360"/>
        </w:sectPr>
      </w:pPr>
      <w:r>
        <w:fldChar w:fldCharType="end"/>
      </w:r>
    </w:p>
    <w:p w14:paraId="49BA993D" w14:textId="2D7CF2C6" w:rsidR="0016602E" w:rsidRDefault="0016602E" w:rsidP="00462BDA">
      <w:pPr>
        <w:pStyle w:val="Heading9"/>
      </w:pPr>
      <w:bookmarkStart w:id="101" w:name="_Ref64631384"/>
      <w:bookmarkStart w:id="102" w:name="_Toc69461582"/>
      <w:bookmarkStart w:id="103" w:name="_Ref42792633"/>
      <w:r>
        <w:lastRenderedPageBreak/>
        <w:t>Hydrological model</w:t>
      </w:r>
      <w:r w:rsidR="001B305A">
        <w:t xml:space="preserve">ling </w:t>
      </w:r>
      <w:r>
        <w:t>method</w:t>
      </w:r>
      <w:r w:rsidR="001B305A">
        <w:t>ology</w:t>
      </w:r>
      <w:bookmarkEnd w:id="101"/>
      <w:bookmarkEnd w:id="102"/>
    </w:p>
    <w:p w14:paraId="3DF3A6B6" w14:textId="7FECFDD7" w:rsidR="001B305A" w:rsidRDefault="001B305A" w:rsidP="001B305A">
      <w:pPr>
        <w:pStyle w:val="Para0"/>
        <w:rPr>
          <w:lang w:val="en-AU"/>
        </w:rPr>
      </w:pPr>
      <w:r>
        <w:rPr>
          <w:lang w:val="en-AU"/>
        </w:rPr>
        <w:t xml:space="preserve">The following sections provide a description of </w:t>
      </w:r>
      <w:r w:rsidR="0001542E">
        <w:rPr>
          <w:lang w:val="en-AU"/>
        </w:rPr>
        <w:t>the</w:t>
      </w:r>
      <w:r>
        <w:rPr>
          <w:lang w:val="en-AU"/>
        </w:rPr>
        <w:t xml:space="preserve"> approach </w:t>
      </w:r>
      <w:r w:rsidR="0001542E">
        <w:rPr>
          <w:lang w:val="en-AU"/>
        </w:rPr>
        <w:t>adopted for</w:t>
      </w:r>
      <w:r>
        <w:rPr>
          <w:lang w:val="en-AU"/>
        </w:rPr>
        <w:t xml:space="preserve"> </w:t>
      </w:r>
      <w:r w:rsidR="0001542E">
        <w:rPr>
          <w:lang w:val="en-AU"/>
        </w:rPr>
        <w:t xml:space="preserve">the </w:t>
      </w:r>
      <w:r>
        <w:rPr>
          <w:lang w:val="en-AU"/>
        </w:rPr>
        <w:t xml:space="preserve">hydrological modelling that is required to 1) quantifying flow criteria identified </w:t>
      </w:r>
      <w:r w:rsidRPr="00F11047">
        <w:rPr>
          <w:lang w:val="en-AU"/>
        </w:rPr>
        <w:t xml:space="preserve">in Section </w:t>
      </w:r>
      <w:r w:rsidR="0001542E" w:rsidRPr="00F11047">
        <w:rPr>
          <w:lang w:val="en-AU"/>
        </w:rPr>
        <w:fldChar w:fldCharType="begin"/>
      </w:r>
      <w:r w:rsidR="0001542E" w:rsidRPr="00F11047">
        <w:rPr>
          <w:lang w:val="en-AU"/>
        </w:rPr>
        <w:instrText xml:space="preserve"> REF _Ref42763687 \r \h </w:instrText>
      </w:r>
      <w:r w:rsidR="00F11047">
        <w:rPr>
          <w:lang w:val="en-AU"/>
        </w:rPr>
        <w:instrText xml:space="preserve"> \* MERGEFORMAT </w:instrText>
      </w:r>
      <w:r w:rsidR="0001542E" w:rsidRPr="00F11047">
        <w:rPr>
          <w:lang w:val="en-AU"/>
        </w:rPr>
      </w:r>
      <w:r w:rsidR="0001542E" w:rsidRPr="00F11047">
        <w:rPr>
          <w:lang w:val="en-AU"/>
        </w:rPr>
        <w:fldChar w:fldCharType="separate"/>
      </w:r>
      <w:r w:rsidR="00BE5F47">
        <w:rPr>
          <w:lang w:val="en-AU"/>
        </w:rPr>
        <w:t>4.3</w:t>
      </w:r>
      <w:r w:rsidR="0001542E" w:rsidRPr="00F11047">
        <w:rPr>
          <w:lang w:val="en-AU"/>
        </w:rPr>
        <w:fldChar w:fldCharType="end"/>
      </w:r>
      <w:r>
        <w:rPr>
          <w:lang w:val="en-AU"/>
        </w:rPr>
        <w:t xml:space="preserve"> and 2) enable a comparison of different scenarios in order to establish risk to values.</w:t>
      </w:r>
    </w:p>
    <w:p w14:paraId="04F6C2EC" w14:textId="5FE08325" w:rsidR="009D0D90" w:rsidRDefault="009D0D90" w:rsidP="00F11047">
      <w:pPr>
        <w:pStyle w:val="Appendixsubheading1"/>
        <w:rPr>
          <w:lang w:val="en-AU" w:eastAsia="en-AU"/>
        </w:rPr>
      </w:pPr>
      <w:bookmarkStart w:id="104" w:name="_Toc27065918"/>
      <w:bookmarkStart w:id="105" w:name="_Toc69461583"/>
      <w:r w:rsidRPr="002060F7">
        <w:rPr>
          <w:lang w:val="en-AU" w:eastAsia="en-AU"/>
        </w:rPr>
        <w:t xml:space="preserve">Selection of appropriate </w:t>
      </w:r>
      <w:r w:rsidR="00794845">
        <w:rPr>
          <w:lang w:val="en-AU" w:eastAsia="en-AU"/>
        </w:rPr>
        <w:t xml:space="preserve">catchment </w:t>
      </w:r>
      <w:r w:rsidRPr="002060F7">
        <w:rPr>
          <w:lang w:val="en-AU" w:eastAsia="en-AU"/>
        </w:rPr>
        <w:t>modelling framework</w:t>
      </w:r>
      <w:bookmarkEnd w:id="104"/>
      <w:bookmarkEnd w:id="105"/>
    </w:p>
    <w:p w14:paraId="09A087B1" w14:textId="3B95EFCB" w:rsidR="009D0D90" w:rsidRDefault="009D0D90" w:rsidP="009D0D90">
      <w:pPr>
        <w:pStyle w:val="Para0"/>
      </w:pPr>
      <w:r>
        <w:t xml:space="preserve">There are a number of existing models available to inform the hydrological assessment: </w:t>
      </w:r>
    </w:p>
    <w:p w14:paraId="6E824E5D" w14:textId="77777777" w:rsidR="009D0D90" w:rsidRDefault="009D0D90" w:rsidP="009D0D90">
      <w:pPr>
        <w:pStyle w:val="Para0bullet"/>
      </w:pPr>
      <w:r>
        <w:t>MUSIC models for each of the PSP areas that simulate the current stormwater management and drainage designs for the PSPs.</w:t>
      </w:r>
    </w:p>
    <w:p w14:paraId="1805476A" w14:textId="77777777" w:rsidR="009D0D90" w:rsidRDefault="009D0D90" w:rsidP="009D0D90">
      <w:pPr>
        <w:pStyle w:val="Para0bullet"/>
      </w:pPr>
      <w:r>
        <w:t>Source catchment model of Cardinia Creek, with catchment outlet at flow gauge 228228 Cardinia Creek at Chasemore Rd, Cardinia developed for assessing changes in flow regime resulting from the three PSP developments (GHD, 2017).</w:t>
      </w:r>
    </w:p>
    <w:p w14:paraId="1D916A47" w14:textId="77777777" w:rsidR="009D0D90" w:rsidRDefault="009D0D90" w:rsidP="009D0D90">
      <w:pPr>
        <w:pStyle w:val="Para0bullet"/>
      </w:pPr>
      <w:r>
        <w:t>Source catchment model of Westernport catchments developed for sediment modelling using the dSedNet sediment budget model (Cuddy et al. 2019).</w:t>
      </w:r>
    </w:p>
    <w:p w14:paraId="6EA6E52E" w14:textId="7CF42C89" w:rsidR="009D0D90" w:rsidRDefault="009D0D90" w:rsidP="009D0D90">
      <w:pPr>
        <w:pStyle w:val="Para0"/>
      </w:pPr>
      <w:r>
        <w:t>We have completed a preliminary review of existing models and data, including critiques of the previous Source model of Cardinia Creek catchment</w:t>
      </w:r>
      <w:r w:rsidR="00E67EC2">
        <w:t xml:space="preserve"> (GHD, 2017)</w:t>
      </w:r>
      <w:r>
        <w:t>. The Alluvium review (Alluvium, 2018) of the GHD Cardinia Creek Source model found that the model is ‘</w:t>
      </w:r>
      <w:r w:rsidRPr="00247624">
        <w:rPr>
          <w:i/>
        </w:rPr>
        <w:t>significantly flawed and not suitable for determining impacts on Australian Grayling or Dwarf Galaxias as a result of urbanisation within the Minta Farm, Officer South and McPherson PSP areas</w:t>
      </w:r>
      <w:r>
        <w:t>’. Alluvium recommended the following were addressed in subsequent hydrological modelling:</w:t>
      </w:r>
    </w:p>
    <w:p w14:paraId="13B3092E" w14:textId="77777777" w:rsidR="009D0D90" w:rsidRDefault="009D0D90" w:rsidP="009D0D90">
      <w:pPr>
        <w:pStyle w:val="Para0number"/>
      </w:pPr>
      <w:r>
        <w:t>Modelling of full extent of Cardinia Creek catchment that is impacted by PSP areas</w:t>
      </w:r>
    </w:p>
    <w:p w14:paraId="5673D9BD" w14:textId="77777777" w:rsidR="009D0D90" w:rsidRDefault="009D0D90" w:rsidP="009D0D90">
      <w:pPr>
        <w:pStyle w:val="Para0number"/>
      </w:pPr>
      <w:r>
        <w:t>Three scenarios should be completed with the modelling: pre-development (or natural), pre-PSP development (prior to 2012), and full PSP development</w:t>
      </w:r>
    </w:p>
    <w:p w14:paraId="3575120F" w14:textId="77777777" w:rsidR="009D0D90" w:rsidRDefault="009D0D90" w:rsidP="009D0D90">
      <w:pPr>
        <w:pStyle w:val="Para0number"/>
      </w:pPr>
      <w:r>
        <w:t xml:space="preserve">Analysis of climate change impacts over long-term (1973 to current) using the DELWP Climate Change Guidelines (DELWP, 2016) </w:t>
      </w:r>
    </w:p>
    <w:p w14:paraId="6742A097" w14:textId="77777777" w:rsidR="009D0D90" w:rsidRDefault="009D0D90" w:rsidP="009D0D90">
      <w:pPr>
        <w:pStyle w:val="Para0number"/>
      </w:pPr>
      <w:r>
        <w:t>The model should assess the following metrics at sufficient spatial and temporal scale:</w:t>
      </w:r>
    </w:p>
    <w:p w14:paraId="0217A437" w14:textId="77777777" w:rsidR="009D0D90" w:rsidRDefault="009D0D90" w:rsidP="009D0D90">
      <w:pPr>
        <w:pStyle w:val="Para1bullet"/>
      </w:pPr>
      <w:r>
        <w:t>Flow timing</w:t>
      </w:r>
    </w:p>
    <w:p w14:paraId="60037FE9" w14:textId="77777777" w:rsidR="009D0D90" w:rsidRDefault="009D0D90" w:rsidP="009D0D90">
      <w:pPr>
        <w:pStyle w:val="Para1bullet"/>
      </w:pPr>
      <w:r>
        <w:t>Flow magnitude</w:t>
      </w:r>
    </w:p>
    <w:p w14:paraId="014EF4C1" w14:textId="77777777" w:rsidR="009D0D90" w:rsidRDefault="009D0D90" w:rsidP="009D0D90">
      <w:pPr>
        <w:pStyle w:val="Para1bullet"/>
      </w:pPr>
      <w:r>
        <w:t>Flow volumes</w:t>
      </w:r>
    </w:p>
    <w:p w14:paraId="4D1031D5" w14:textId="77777777" w:rsidR="009D0D90" w:rsidRDefault="009D0D90" w:rsidP="009D0D90">
      <w:pPr>
        <w:pStyle w:val="Para1bullet"/>
      </w:pPr>
      <w:r>
        <w:t>Peak flow durations</w:t>
      </w:r>
    </w:p>
    <w:p w14:paraId="0154882F" w14:textId="77777777" w:rsidR="009D0D90" w:rsidRDefault="009D0D90" w:rsidP="009D0D90">
      <w:pPr>
        <w:pStyle w:val="Para1bullet"/>
      </w:pPr>
      <w:r>
        <w:t>Rate of rise and fall</w:t>
      </w:r>
    </w:p>
    <w:p w14:paraId="22F91CD0" w14:textId="77777777" w:rsidR="009D0D90" w:rsidRDefault="009D0D90" w:rsidP="009D0D90">
      <w:pPr>
        <w:pStyle w:val="Para1bullet"/>
      </w:pPr>
      <w:r>
        <w:t>Inundation level and frequency of floodplain habitat engagement</w:t>
      </w:r>
    </w:p>
    <w:p w14:paraId="294950CC" w14:textId="22A6B628" w:rsidR="002979AC" w:rsidRDefault="009D0D90" w:rsidP="00F11047">
      <w:pPr>
        <w:pStyle w:val="Para0"/>
      </w:pPr>
      <w:r>
        <w:t xml:space="preserve">Given these modelling requirements, we </w:t>
      </w:r>
      <w:r w:rsidR="00AB3B3B">
        <w:t>used</w:t>
      </w:r>
      <w:r>
        <w:t xml:space="preserve"> the Westernport dSedNet Source Catchments model for simulating the required </w:t>
      </w:r>
      <w:r w:rsidRPr="00A27C48">
        <w:t>hydrology in Cardinia Creek that will inform the environmental risk assessment. The Westernport dSedN</w:t>
      </w:r>
      <w:r>
        <w:t>et</w:t>
      </w:r>
      <w:r w:rsidRPr="00A27C48">
        <w:t xml:space="preserve"> Source model was developed for Melbourne Water to assess soil erosion sources, and its transport through the Westernport catchment, and to provide a decision-support system (Catchment Planning</w:t>
      </w:r>
      <w:r>
        <w:t xml:space="preserve"> </w:t>
      </w:r>
      <w:r w:rsidRPr="00A27C48">
        <w:t>Tool) for managing and mitigating sediment erosion impacting on the health of the Bay. The Source model covers all catchments draining to Western</w:t>
      </w:r>
      <w:r>
        <w:t xml:space="preserve"> P</w:t>
      </w:r>
      <w:r w:rsidRPr="00A27C48">
        <w:t xml:space="preserve">ort, including Cardinia Creek. </w:t>
      </w:r>
    </w:p>
    <w:p w14:paraId="30D0E630" w14:textId="3270902A" w:rsidR="003A1CE9" w:rsidRDefault="005C0F5F" w:rsidP="002B0D33">
      <w:pPr>
        <w:pStyle w:val="Para0"/>
      </w:pPr>
      <w:r>
        <w:t>Cardinia Creek catchment has been delineated into 17 subcatchments of approximately 10-15 km</w:t>
      </w:r>
      <w:r w:rsidRPr="002B0D33">
        <w:rPr>
          <w:vertAlign w:val="superscript"/>
        </w:rPr>
        <w:t>2</w:t>
      </w:r>
      <w:r>
        <w:t xml:space="preserve"> in area. Each subcatchment is characterised by 28 land use types, largely focused on representing different sources of sediments</w:t>
      </w:r>
      <w:r w:rsidR="002B0D33">
        <w:t xml:space="preserve"> and to </w:t>
      </w:r>
      <w:r w:rsidR="002B0D33" w:rsidRPr="00F11047">
        <w:t xml:space="preserve">facilitate scenario modelling. </w:t>
      </w:r>
      <w:r w:rsidR="00B537FB" w:rsidRPr="00F11047">
        <w:t>Hydrologically, the model has been configured with SIMHYD rainfall-runoff models (Chiew et al 2002), parameterised</w:t>
      </w:r>
      <w:r w:rsidR="00B537FB">
        <w:t xml:space="preserve"> for 3 land use types that have distinct hydrological responses: Forest, rural and Urban.</w:t>
      </w:r>
    </w:p>
    <w:p w14:paraId="70A6E3EF" w14:textId="12C7A705" w:rsidR="005C0F5F" w:rsidRDefault="002B0D33" w:rsidP="00F11047">
      <w:pPr>
        <w:pStyle w:val="Para0"/>
      </w:pPr>
      <w:r>
        <w:lastRenderedPageBreak/>
        <w:t>SIMHYD is similar to the rainfall-runoff model used in MUSIC, which is the Simplified Urban Runoff Model (SURM). SURM is a simplified version of SIMHYD, with simplification of the soil moisture storage component of the model. SIMHYD is a ‘bucket’ style model</w:t>
      </w:r>
      <w:r w:rsidR="003A1CE9">
        <w:t xml:space="preserve"> </w:t>
      </w:r>
      <w:r>
        <w:t xml:space="preserve">with enough complexity to deal with the range of hydrologic responses which occur over a continuous time period. </w:t>
      </w:r>
      <w:r w:rsidR="003A1CE9">
        <w:t>SIMHYD</w:t>
      </w:r>
      <w:r>
        <w:t xml:space="preserve"> has been used in many applications across Australia, particularly where urban areas are likely to be important</w:t>
      </w:r>
      <w:r w:rsidR="003A1CE9">
        <w:t>.</w:t>
      </w:r>
    </w:p>
    <w:p w14:paraId="21888EE4" w14:textId="33E3C524" w:rsidR="003A1CE9" w:rsidRDefault="003A1CE9" w:rsidP="003A1CE9">
      <w:pPr>
        <w:pStyle w:val="Para0"/>
      </w:pPr>
      <w:r>
        <w:t>I</w:t>
      </w:r>
      <w:r w:rsidRPr="003B085E">
        <w:t xml:space="preserve">mpervious </w:t>
      </w:r>
      <w:r>
        <w:t>fraction</w:t>
      </w:r>
      <w:r w:rsidRPr="003B085E">
        <w:t xml:space="preserve">s </w:t>
      </w:r>
      <w:r>
        <w:t>for land uses were</w:t>
      </w:r>
      <w:r w:rsidRPr="003B085E">
        <w:t xml:space="preserve"> taken from the Melbourne Water 2018 MUSIC modelling </w:t>
      </w:r>
      <w:r w:rsidRPr="00B879BC">
        <w:t>guidelines</w:t>
      </w:r>
      <w:r>
        <w:t xml:space="preserve"> (Melbourne Water, 2018)</w:t>
      </w:r>
      <w:r w:rsidRPr="00B879BC">
        <w:t xml:space="preserve">. </w:t>
      </w:r>
      <w:r>
        <w:t xml:space="preserve">Based on ARR (2019) guidelines (Ball et al., 2019) the impervious fractions from the MUSIC guidelines were scaled (by 0.6) to </w:t>
      </w:r>
      <w:r w:rsidRPr="00ED47BB">
        <w:t>exclude impervious areas that have no direct connection to the drainage network</w:t>
      </w:r>
      <w:r>
        <w:t xml:space="preserve">. This results in an effective impervious area (EIA) </w:t>
      </w:r>
      <w:r w:rsidRPr="00B879BC">
        <w:t>(</w:t>
      </w:r>
      <w:r w:rsidR="00B537FB">
        <w:fldChar w:fldCharType="begin"/>
      </w:r>
      <w:r w:rsidR="00B537FB">
        <w:instrText xml:space="preserve"> REF _Ref67915002 \h </w:instrText>
      </w:r>
      <w:r w:rsidR="00B537FB">
        <w:fldChar w:fldCharType="separate"/>
      </w:r>
      <w:r w:rsidR="00BE5F47" w:rsidRPr="00B85F18">
        <w:t xml:space="preserve">Table </w:t>
      </w:r>
      <w:r w:rsidR="00BE5F47">
        <w:rPr>
          <w:noProof/>
        </w:rPr>
        <w:t>A</w:t>
      </w:r>
      <w:r w:rsidR="00BE5F47" w:rsidRPr="00B85F18">
        <w:t>.</w:t>
      </w:r>
      <w:r w:rsidR="00BE5F47">
        <w:rPr>
          <w:noProof/>
        </w:rPr>
        <w:t>1</w:t>
      </w:r>
      <w:r w:rsidR="00B537FB">
        <w:fldChar w:fldCharType="end"/>
      </w:r>
      <w:r>
        <w:t xml:space="preserve">). </w:t>
      </w:r>
      <w:r w:rsidRPr="00B879BC">
        <w:t xml:space="preserve">These </w:t>
      </w:r>
      <w:r>
        <w:t xml:space="preserve">are </w:t>
      </w:r>
      <w:r w:rsidRPr="00B879BC">
        <w:t>used</w:t>
      </w:r>
      <w:r>
        <w:t xml:space="preserve"> to parameterise the Pervious F</w:t>
      </w:r>
      <w:r w:rsidRPr="003B085E">
        <w:t>raction parameter</w:t>
      </w:r>
      <w:r>
        <w:t xml:space="preserve"> (i.e., 1- EIA factor) in SIMHYD. In order to facilitate scenarios that test changes in impervious area the Pervious Fraction parameter in SIMHYD was fixed, and not altered in calibration. This allows consistent representation of directly connected imperviousness across the whole model extent.</w:t>
      </w:r>
    </w:p>
    <w:p w14:paraId="0EDE8564" w14:textId="43A03241" w:rsidR="003A1CE9" w:rsidRDefault="00B537FB" w:rsidP="00F11047">
      <w:pPr>
        <w:pStyle w:val="Caption"/>
        <w:keepNext w:val="0"/>
      </w:pPr>
      <w:bookmarkStart w:id="106" w:name="_Ref67915002"/>
      <w:bookmarkStart w:id="107" w:name="_Ref519599462"/>
      <w:r w:rsidRPr="00B85F18">
        <w:t xml:space="preserve">Table </w:t>
      </w:r>
      <w:r>
        <w:fldChar w:fldCharType="begin"/>
      </w:r>
      <w:r>
        <w:instrText xml:space="preserve"> STYLEREF 9 \s </w:instrText>
      </w:r>
      <w:r>
        <w:fldChar w:fldCharType="separate"/>
      </w:r>
      <w:r w:rsidR="00BE5F47">
        <w:rPr>
          <w:noProof/>
        </w:rPr>
        <w:t>A</w:t>
      </w:r>
      <w:r>
        <w:rPr>
          <w:noProof/>
        </w:rPr>
        <w:fldChar w:fldCharType="end"/>
      </w:r>
      <w:r w:rsidRPr="00B85F18">
        <w:t>.</w:t>
      </w:r>
      <w:r>
        <w:fldChar w:fldCharType="begin"/>
      </w:r>
      <w:r>
        <w:instrText xml:space="preserve"> SEQ Table \* ARABIC \s 9 </w:instrText>
      </w:r>
      <w:r>
        <w:fldChar w:fldCharType="separate"/>
      </w:r>
      <w:r w:rsidR="00BE5F47">
        <w:rPr>
          <w:noProof/>
        </w:rPr>
        <w:t>1</w:t>
      </w:r>
      <w:r>
        <w:rPr>
          <w:noProof/>
        </w:rPr>
        <w:fldChar w:fldCharType="end"/>
      </w:r>
      <w:bookmarkEnd w:id="106"/>
      <w:r w:rsidRPr="00B85F18">
        <w:t xml:space="preserve">: </w:t>
      </w:r>
      <w:bookmarkEnd w:id="107"/>
      <w:r w:rsidR="003A1CE9">
        <w:t>F</w:t>
      </w:r>
      <w:r w:rsidR="003A1CE9" w:rsidRPr="003B085E">
        <w:rPr>
          <w:rFonts w:cs="Arial"/>
        </w:rPr>
        <w:t xml:space="preserve">unctional unit types and </w:t>
      </w:r>
      <w:r w:rsidR="003A1CE9">
        <w:t>effective impervious area (EIA) factors</w:t>
      </w:r>
    </w:p>
    <w:tbl>
      <w:tblPr>
        <w:tblStyle w:val="TableGridLight"/>
        <w:tblW w:w="5000" w:type="pct"/>
        <w:tblLook w:val="04A0" w:firstRow="1" w:lastRow="0" w:firstColumn="1" w:lastColumn="0" w:noHBand="0" w:noVBand="1"/>
      </w:tblPr>
      <w:tblGrid>
        <w:gridCol w:w="3450"/>
        <w:gridCol w:w="1652"/>
        <w:gridCol w:w="3233"/>
        <w:gridCol w:w="1571"/>
      </w:tblGrid>
      <w:tr w:rsidR="003A1CE9" w:rsidRPr="00723FB4" w14:paraId="54CE7FE2" w14:textId="77777777" w:rsidTr="00F11047">
        <w:trPr>
          <w:trHeight w:val="315"/>
        </w:trPr>
        <w:tc>
          <w:tcPr>
            <w:tcW w:w="1741" w:type="pct"/>
            <w:shd w:val="clear" w:color="auto" w:fill="E5E5E5" w:themeFill="background2"/>
            <w:noWrap/>
            <w:hideMark/>
          </w:tcPr>
          <w:p w14:paraId="09B00886" w14:textId="77777777" w:rsidR="003A1CE9" w:rsidRPr="008C5A0C" w:rsidRDefault="003A1CE9" w:rsidP="00851780">
            <w:pPr>
              <w:pStyle w:val="Tabletext"/>
              <w:rPr>
                <w:b/>
                <w:lang w:eastAsia="en-AU"/>
              </w:rPr>
            </w:pPr>
            <w:r w:rsidRPr="008C5A0C">
              <w:rPr>
                <w:b/>
                <w:lang w:eastAsia="en-AU"/>
              </w:rPr>
              <w:t>Land</w:t>
            </w:r>
            <w:r>
              <w:rPr>
                <w:b/>
                <w:lang w:eastAsia="en-AU"/>
              </w:rPr>
              <w:t xml:space="preserve"> </w:t>
            </w:r>
            <w:r w:rsidRPr="008C5A0C">
              <w:rPr>
                <w:b/>
                <w:lang w:eastAsia="en-AU"/>
              </w:rPr>
              <w:t>use</w:t>
            </w:r>
          </w:p>
        </w:tc>
        <w:tc>
          <w:tcPr>
            <w:tcW w:w="834" w:type="pct"/>
            <w:shd w:val="clear" w:color="auto" w:fill="E5E5E5" w:themeFill="background2"/>
          </w:tcPr>
          <w:p w14:paraId="4143C330" w14:textId="77777777" w:rsidR="003A1CE9" w:rsidRPr="008C5A0C" w:rsidRDefault="003A1CE9" w:rsidP="00851780">
            <w:pPr>
              <w:pStyle w:val="Tabletext"/>
              <w:rPr>
                <w:b/>
                <w:lang w:eastAsia="en-AU"/>
              </w:rPr>
            </w:pPr>
            <w:r>
              <w:rPr>
                <w:b/>
                <w:lang w:eastAsia="en-AU"/>
              </w:rPr>
              <w:t>EIA Factor</w:t>
            </w:r>
          </w:p>
        </w:tc>
        <w:tc>
          <w:tcPr>
            <w:tcW w:w="1632" w:type="pct"/>
            <w:shd w:val="clear" w:color="auto" w:fill="E5E5E5" w:themeFill="background2"/>
          </w:tcPr>
          <w:p w14:paraId="5FA3DF5A" w14:textId="77777777" w:rsidR="003A1CE9" w:rsidRPr="008C5A0C" w:rsidRDefault="003A1CE9" w:rsidP="00851780">
            <w:pPr>
              <w:pStyle w:val="Tabletext"/>
              <w:rPr>
                <w:b/>
                <w:lang w:eastAsia="en-AU"/>
              </w:rPr>
            </w:pPr>
            <w:r w:rsidRPr="008C5A0C">
              <w:rPr>
                <w:b/>
                <w:lang w:eastAsia="en-AU"/>
              </w:rPr>
              <w:t>Land</w:t>
            </w:r>
            <w:r>
              <w:rPr>
                <w:b/>
                <w:lang w:eastAsia="en-AU"/>
              </w:rPr>
              <w:t xml:space="preserve"> </w:t>
            </w:r>
            <w:r w:rsidRPr="008C5A0C">
              <w:rPr>
                <w:b/>
                <w:lang w:eastAsia="en-AU"/>
              </w:rPr>
              <w:t>use</w:t>
            </w:r>
          </w:p>
        </w:tc>
        <w:tc>
          <w:tcPr>
            <w:tcW w:w="793" w:type="pct"/>
            <w:shd w:val="clear" w:color="auto" w:fill="E5E5E5" w:themeFill="background2"/>
          </w:tcPr>
          <w:p w14:paraId="2CBC7483" w14:textId="77777777" w:rsidR="003A1CE9" w:rsidRPr="008C5A0C" w:rsidRDefault="003A1CE9" w:rsidP="00851780">
            <w:pPr>
              <w:pStyle w:val="Tabletext"/>
              <w:rPr>
                <w:b/>
                <w:color w:val="FFFFFF"/>
                <w:lang w:eastAsia="en-AU"/>
              </w:rPr>
            </w:pPr>
            <w:r>
              <w:rPr>
                <w:b/>
                <w:lang w:eastAsia="en-AU"/>
              </w:rPr>
              <w:t>EIA Factor</w:t>
            </w:r>
          </w:p>
        </w:tc>
      </w:tr>
      <w:tr w:rsidR="003A1CE9" w:rsidRPr="00723FB4" w14:paraId="58524E3A" w14:textId="77777777" w:rsidTr="00F11047">
        <w:trPr>
          <w:trHeight w:val="315"/>
        </w:trPr>
        <w:tc>
          <w:tcPr>
            <w:tcW w:w="1741" w:type="pct"/>
            <w:noWrap/>
            <w:hideMark/>
          </w:tcPr>
          <w:p w14:paraId="110CE715" w14:textId="77777777" w:rsidR="003A1CE9" w:rsidRPr="00723FB4" w:rsidRDefault="003A1CE9" w:rsidP="00851780">
            <w:pPr>
              <w:pStyle w:val="Tabletext"/>
              <w:rPr>
                <w:lang w:eastAsia="en-AU"/>
              </w:rPr>
            </w:pPr>
            <w:r w:rsidRPr="00723FB4">
              <w:rPr>
                <w:lang w:eastAsia="en-AU"/>
              </w:rPr>
              <w:t>Agricultural Industry</w:t>
            </w:r>
          </w:p>
        </w:tc>
        <w:tc>
          <w:tcPr>
            <w:tcW w:w="834" w:type="pct"/>
          </w:tcPr>
          <w:p w14:paraId="3709CC46" w14:textId="77777777" w:rsidR="003A1CE9" w:rsidRPr="00723FB4" w:rsidRDefault="003A1CE9" w:rsidP="00851780">
            <w:pPr>
              <w:pStyle w:val="Tabletext"/>
              <w:rPr>
                <w:lang w:eastAsia="en-AU"/>
              </w:rPr>
            </w:pPr>
            <w:r>
              <w:t>0.30</w:t>
            </w:r>
          </w:p>
        </w:tc>
        <w:tc>
          <w:tcPr>
            <w:tcW w:w="1632" w:type="pct"/>
          </w:tcPr>
          <w:p w14:paraId="0DEE6363" w14:textId="77777777" w:rsidR="003A1CE9" w:rsidRPr="00723FB4" w:rsidRDefault="003A1CE9" w:rsidP="00851780">
            <w:pPr>
              <w:pStyle w:val="Tabletext"/>
              <w:rPr>
                <w:lang w:eastAsia="en-AU"/>
              </w:rPr>
            </w:pPr>
            <w:r w:rsidRPr="00723FB4">
              <w:rPr>
                <w:lang w:eastAsia="en-AU"/>
              </w:rPr>
              <w:t>Grassland</w:t>
            </w:r>
          </w:p>
        </w:tc>
        <w:tc>
          <w:tcPr>
            <w:tcW w:w="793" w:type="pct"/>
          </w:tcPr>
          <w:p w14:paraId="0D678B29" w14:textId="77777777" w:rsidR="003A1CE9" w:rsidRPr="00723FB4" w:rsidRDefault="003A1CE9" w:rsidP="00851780">
            <w:pPr>
              <w:pStyle w:val="Tabletext"/>
              <w:rPr>
                <w:lang w:eastAsia="en-AU"/>
              </w:rPr>
            </w:pPr>
            <w:r>
              <w:t>0.06</w:t>
            </w:r>
          </w:p>
        </w:tc>
      </w:tr>
      <w:tr w:rsidR="003A1CE9" w:rsidRPr="00723FB4" w14:paraId="1A9C791D" w14:textId="77777777" w:rsidTr="00F11047">
        <w:trPr>
          <w:trHeight w:val="315"/>
        </w:trPr>
        <w:tc>
          <w:tcPr>
            <w:tcW w:w="1741" w:type="pct"/>
            <w:noWrap/>
          </w:tcPr>
          <w:p w14:paraId="688FF8F6" w14:textId="77777777" w:rsidR="003A1CE9" w:rsidRPr="00723FB4" w:rsidRDefault="003A1CE9" w:rsidP="00851780">
            <w:pPr>
              <w:pStyle w:val="Tabletext"/>
              <w:rPr>
                <w:lang w:eastAsia="en-AU"/>
              </w:rPr>
            </w:pPr>
            <w:r w:rsidRPr="00723FB4">
              <w:rPr>
                <w:lang w:eastAsia="en-AU"/>
              </w:rPr>
              <w:t>Commercial</w:t>
            </w:r>
          </w:p>
        </w:tc>
        <w:tc>
          <w:tcPr>
            <w:tcW w:w="834" w:type="pct"/>
          </w:tcPr>
          <w:p w14:paraId="764ED2CD" w14:textId="77777777" w:rsidR="003A1CE9" w:rsidRPr="00723FB4" w:rsidRDefault="003A1CE9" w:rsidP="00851780">
            <w:pPr>
              <w:pStyle w:val="Tabletext"/>
              <w:rPr>
                <w:lang w:eastAsia="en-AU"/>
              </w:rPr>
            </w:pPr>
            <w:r>
              <w:t>0.54</w:t>
            </w:r>
          </w:p>
        </w:tc>
        <w:tc>
          <w:tcPr>
            <w:tcW w:w="1632" w:type="pct"/>
          </w:tcPr>
          <w:p w14:paraId="48F9EFB8" w14:textId="77777777" w:rsidR="003A1CE9" w:rsidRPr="00723FB4" w:rsidRDefault="003A1CE9" w:rsidP="00851780">
            <w:pPr>
              <w:pStyle w:val="Tabletext"/>
              <w:rPr>
                <w:lang w:eastAsia="en-AU"/>
              </w:rPr>
            </w:pPr>
            <w:r w:rsidRPr="00723FB4">
              <w:rPr>
                <w:lang w:eastAsia="en-AU"/>
              </w:rPr>
              <w:t>Grazing and Cropping</w:t>
            </w:r>
          </w:p>
        </w:tc>
        <w:tc>
          <w:tcPr>
            <w:tcW w:w="793" w:type="pct"/>
          </w:tcPr>
          <w:p w14:paraId="376E3964" w14:textId="77777777" w:rsidR="003A1CE9" w:rsidRPr="00723FB4" w:rsidRDefault="003A1CE9" w:rsidP="00851780">
            <w:pPr>
              <w:pStyle w:val="Tabletext"/>
              <w:rPr>
                <w:lang w:eastAsia="en-AU"/>
              </w:rPr>
            </w:pPr>
            <w:r>
              <w:t>0.06</w:t>
            </w:r>
          </w:p>
        </w:tc>
      </w:tr>
      <w:tr w:rsidR="003A1CE9" w:rsidRPr="00723FB4" w14:paraId="5071635C" w14:textId="77777777" w:rsidTr="00F11047">
        <w:trPr>
          <w:trHeight w:val="315"/>
        </w:trPr>
        <w:tc>
          <w:tcPr>
            <w:tcW w:w="1741" w:type="pct"/>
            <w:noWrap/>
          </w:tcPr>
          <w:p w14:paraId="7FDF0175" w14:textId="77777777" w:rsidR="003A1CE9" w:rsidRPr="00723FB4" w:rsidRDefault="003A1CE9" w:rsidP="00851780">
            <w:pPr>
              <w:pStyle w:val="Tabletext"/>
              <w:rPr>
                <w:lang w:eastAsia="en-AU"/>
              </w:rPr>
            </w:pPr>
            <w:r w:rsidRPr="00723FB4">
              <w:rPr>
                <w:lang w:eastAsia="en-AU"/>
              </w:rPr>
              <w:t>Industrial</w:t>
            </w:r>
          </w:p>
        </w:tc>
        <w:tc>
          <w:tcPr>
            <w:tcW w:w="834" w:type="pct"/>
          </w:tcPr>
          <w:p w14:paraId="2947E0FD" w14:textId="77777777" w:rsidR="003A1CE9" w:rsidRPr="00723FB4" w:rsidRDefault="003A1CE9" w:rsidP="00851780">
            <w:pPr>
              <w:pStyle w:val="Tabletext"/>
              <w:rPr>
                <w:lang w:eastAsia="en-AU"/>
              </w:rPr>
            </w:pPr>
            <w:r>
              <w:t>0.54</w:t>
            </w:r>
          </w:p>
        </w:tc>
        <w:tc>
          <w:tcPr>
            <w:tcW w:w="1632" w:type="pct"/>
          </w:tcPr>
          <w:p w14:paraId="458F0A93" w14:textId="77777777" w:rsidR="003A1CE9" w:rsidRPr="00723FB4" w:rsidRDefault="003A1CE9" w:rsidP="00851780">
            <w:pPr>
              <w:pStyle w:val="Tabletext"/>
              <w:rPr>
                <w:lang w:eastAsia="en-AU"/>
              </w:rPr>
            </w:pPr>
            <w:r w:rsidRPr="00723FB4">
              <w:rPr>
                <w:lang w:eastAsia="en-AU"/>
              </w:rPr>
              <w:t>Green Space</w:t>
            </w:r>
          </w:p>
        </w:tc>
        <w:tc>
          <w:tcPr>
            <w:tcW w:w="793" w:type="pct"/>
          </w:tcPr>
          <w:p w14:paraId="1B9579E1" w14:textId="77777777" w:rsidR="003A1CE9" w:rsidRPr="00723FB4" w:rsidRDefault="003A1CE9" w:rsidP="00851780">
            <w:pPr>
              <w:pStyle w:val="Tabletext"/>
              <w:rPr>
                <w:lang w:eastAsia="en-AU"/>
              </w:rPr>
            </w:pPr>
            <w:r>
              <w:t>0.06</w:t>
            </w:r>
          </w:p>
        </w:tc>
      </w:tr>
      <w:tr w:rsidR="003A1CE9" w:rsidRPr="00723FB4" w14:paraId="562365FE" w14:textId="77777777" w:rsidTr="00F11047">
        <w:trPr>
          <w:trHeight w:val="315"/>
        </w:trPr>
        <w:tc>
          <w:tcPr>
            <w:tcW w:w="1741" w:type="pct"/>
            <w:noWrap/>
          </w:tcPr>
          <w:p w14:paraId="28FDAA39" w14:textId="77777777" w:rsidR="003A1CE9" w:rsidRPr="00723FB4" w:rsidRDefault="003A1CE9" w:rsidP="00851780">
            <w:pPr>
              <w:pStyle w:val="Tabletext"/>
              <w:rPr>
                <w:lang w:eastAsia="en-AU"/>
              </w:rPr>
            </w:pPr>
            <w:r w:rsidRPr="00723FB4">
              <w:rPr>
                <w:lang w:eastAsia="en-AU"/>
              </w:rPr>
              <w:t>Apartments</w:t>
            </w:r>
          </w:p>
        </w:tc>
        <w:tc>
          <w:tcPr>
            <w:tcW w:w="834" w:type="pct"/>
          </w:tcPr>
          <w:p w14:paraId="26781278" w14:textId="77777777" w:rsidR="003A1CE9" w:rsidRDefault="003A1CE9" w:rsidP="00851780">
            <w:pPr>
              <w:pStyle w:val="Tabletext"/>
              <w:rPr>
                <w:lang w:eastAsia="en-AU"/>
              </w:rPr>
            </w:pPr>
            <w:r>
              <w:t>0.51</w:t>
            </w:r>
          </w:p>
        </w:tc>
        <w:tc>
          <w:tcPr>
            <w:tcW w:w="1632" w:type="pct"/>
          </w:tcPr>
          <w:p w14:paraId="67693D30" w14:textId="77777777" w:rsidR="003A1CE9" w:rsidRPr="00723FB4" w:rsidRDefault="003A1CE9" w:rsidP="00851780">
            <w:pPr>
              <w:pStyle w:val="Tabletext"/>
              <w:rPr>
                <w:lang w:eastAsia="en-AU"/>
              </w:rPr>
            </w:pPr>
            <w:r>
              <w:rPr>
                <w:lang w:eastAsia="en-AU"/>
              </w:rPr>
              <w:t>Other</w:t>
            </w:r>
          </w:p>
        </w:tc>
        <w:tc>
          <w:tcPr>
            <w:tcW w:w="793" w:type="pct"/>
          </w:tcPr>
          <w:p w14:paraId="4B5D5219" w14:textId="77777777" w:rsidR="003A1CE9" w:rsidRPr="00723FB4" w:rsidRDefault="003A1CE9" w:rsidP="00851780">
            <w:pPr>
              <w:pStyle w:val="Tabletext"/>
              <w:rPr>
                <w:lang w:eastAsia="en-AU"/>
              </w:rPr>
            </w:pPr>
            <w:r>
              <w:t>0.3</w:t>
            </w:r>
          </w:p>
        </w:tc>
      </w:tr>
      <w:tr w:rsidR="003A1CE9" w:rsidRPr="00723FB4" w14:paraId="598C90A7" w14:textId="77777777" w:rsidTr="00F11047">
        <w:trPr>
          <w:trHeight w:val="315"/>
        </w:trPr>
        <w:tc>
          <w:tcPr>
            <w:tcW w:w="1741" w:type="pct"/>
            <w:noWrap/>
          </w:tcPr>
          <w:p w14:paraId="270CA41B" w14:textId="77777777" w:rsidR="003A1CE9" w:rsidRPr="00723FB4" w:rsidRDefault="003A1CE9" w:rsidP="00851780">
            <w:pPr>
              <w:pStyle w:val="Tabletext"/>
              <w:rPr>
                <w:lang w:eastAsia="en-AU"/>
              </w:rPr>
            </w:pPr>
            <w:r w:rsidRPr="00723FB4">
              <w:rPr>
                <w:lang w:eastAsia="en-AU"/>
              </w:rPr>
              <w:t>Low Density Residential</w:t>
            </w:r>
          </w:p>
        </w:tc>
        <w:tc>
          <w:tcPr>
            <w:tcW w:w="834" w:type="pct"/>
          </w:tcPr>
          <w:p w14:paraId="2B0069B1" w14:textId="77777777" w:rsidR="003A1CE9" w:rsidRPr="00723FB4" w:rsidRDefault="003A1CE9" w:rsidP="00851780">
            <w:pPr>
              <w:pStyle w:val="Tabletext"/>
              <w:rPr>
                <w:lang w:eastAsia="en-AU"/>
              </w:rPr>
            </w:pPr>
            <w:r>
              <w:t>0.36</w:t>
            </w:r>
          </w:p>
        </w:tc>
        <w:tc>
          <w:tcPr>
            <w:tcW w:w="1632" w:type="pct"/>
          </w:tcPr>
          <w:p w14:paraId="49E36286" w14:textId="77777777" w:rsidR="003A1CE9" w:rsidRPr="00723FB4" w:rsidRDefault="003A1CE9" w:rsidP="00851780">
            <w:pPr>
              <w:pStyle w:val="Tabletext"/>
              <w:rPr>
                <w:lang w:eastAsia="en-AU"/>
              </w:rPr>
            </w:pPr>
            <w:r w:rsidRPr="00723FB4">
              <w:rPr>
                <w:lang w:eastAsia="en-AU"/>
              </w:rPr>
              <w:t>Horticulture</w:t>
            </w:r>
          </w:p>
        </w:tc>
        <w:tc>
          <w:tcPr>
            <w:tcW w:w="793" w:type="pct"/>
          </w:tcPr>
          <w:p w14:paraId="33478380" w14:textId="77777777" w:rsidR="003A1CE9" w:rsidRPr="00723FB4" w:rsidRDefault="003A1CE9" w:rsidP="00851780">
            <w:pPr>
              <w:pStyle w:val="Tabletext"/>
              <w:rPr>
                <w:lang w:eastAsia="en-AU"/>
              </w:rPr>
            </w:pPr>
            <w:r>
              <w:t>0.06</w:t>
            </w:r>
          </w:p>
        </w:tc>
      </w:tr>
      <w:tr w:rsidR="003A1CE9" w:rsidRPr="00723FB4" w14:paraId="011F5F13" w14:textId="77777777" w:rsidTr="00F11047">
        <w:trPr>
          <w:trHeight w:val="315"/>
        </w:trPr>
        <w:tc>
          <w:tcPr>
            <w:tcW w:w="1741" w:type="pct"/>
            <w:noWrap/>
          </w:tcPr>
          <w:p w14:paraId="009637A1" w14:textId="77777777" w:rsidR="003A1CE9" w:rsidRPr="00723FB4" w:rsidRDefault="003A1CE9" w:rsidP="00851780">
            <w:pPr>
              <w:pStyle w:val="Tabletext"/>
              <w:rPr>
                <w:lang w:eastAsia="en-AU"/>
              </w:rPr>
            </w:pPr>
            <w:r w:rsidRPr="00723FB4">
              <w:rPr>
                <w:lang w:eastAsia="en-AU"/>
              </w:rPr>
              <w:t>Medium Density Residential</w:t>
            </w:r>
          </w:p>
        </w:tc>
        <w:tc>
          <w:tcPr>
            <w:tcW w:w="834" w:type="pct"/>
          </w:tcPr>
          <w:p w14:paraId="1DE0D09D" w14:textId="77777777" w:rsidR="003A1CE9" w:rsidRPr="00723FB4" w:rsidRDefault="003A1CE9" w:rsidP="00851780">
            <w:pPr>
              <w:pStyle w:val="Tabletext"/>
              <w:rPr>
                <w:lang w:eastAsia="en-AU"/>
              </w:rPr>
            </w:pPr>
            <w:r>
              <w:t>0.45</w:t>
            </w:r>
          </w:p>
        </w:tc>
        <w:tc>
          <w:tcPr>
            <w:tcW w:w="1632" w:type="pct"/>
          </w:tcPr>
          <w:p w14:paraId="54AFE88F" w14:textId="77777777" w:rsidR="003A1CE9" w:rsidRPr="00723FB4" w:rsidRDefault="003A1CE9" w:rsidP="00851780">
            <w:pPr>
              <w:pStyle w:val="Tabletext"/>
              <w:rPr>
                <w:lang w:eastAsia="en-AU"/>
              </w:rPr>
            </w:pPr>
            <w:r w:rsidRPr="00723FB4">
              <w:rPr>
                <w:lang w:eastAsia="en-AU"/>
              </w:rPr>
              <w:t>Public Use</w:t>
            </w:r>
          </w:p>
        </w:tc>
        <w:tc>
          <w:tcPr>
            <w:tcW w:w="793" w:type="pct"/>
          </w:tcPr>
          <w:p w14:paraId="7B798CE6" w14:textId="77777777" w:rsidR="003A1CE9" w:rsidRPr="00723FB4" w:rsidRDefault="003A1CE9" w:rsidP="00851780">
            <w:pPr>
              <w:pStyle w:val="Tabletext"/>
              <w:rPr>
                <w:lang w:eastAsia="en-AU"/>
              </w:rPr>
            </w:pPr>
            <w:r>
              <w:t>0.42</w:t>
            </w:r>
          </w:p>
        </w:tc>
      </w:tr>
      <w:tr w:rsidR="003A1CE9" w:rsidRPr="00723FB4" w14:paraId="79869B65" w14:textId="77777777" w:rsidTr="00F11047">
        <w:trPr>
          <w:trHeight w:val="315"/>
        </w:trPr>
        <w:tc>
          <w:tcPr>
            <w:tcW w:w="1741" w:type="pct"/>
            <w:noWrap/>
          </w:tcPr>
          <w:p w14:paraId="2B8F17C6" w14:textId="77777777" w:rsidR="003A1CE9" w:rsidRPr="00723FB4" w:rsidRDefault="003A1CE9" w:rsidP="00851780">
            <w:pPr>
              <w:pStyle w:val="Tabletext"/>
              <w:rPr>
                <w:lang w:eastAsia="en-AU"/>
              </w:rPr>
            </w:pPr>
            <w:r w:rsidRPr="00723FB4">
              <w:rPr>
                <w:lang w:eastAsia="en-AU"/>
              </w:rPr>
              <w:t>Residential Other</w:t>
            </w:r>
          </w:p>
        </w:tc>
        <w:tc>
          <w:tcPr>
            <w:tcW w:w="834" w:type="pct"/>
          </w:tcPr>
          <w:p w14:paraId="2B8FBF6E" w14:textId="77777777" w:rsidR="003A1CE9" w:rsidRPr="00723FB4" w:rsidRDefault="003A1CE9" w:rsidP="00851780">
            <w:pPr>
              <w:pStyle w:val="Tabletext"/>
              <w:rPr>
                <w:lang w:eastAsia="en-AU"/>
              </w:rPr>
            </w:pPr>
            <w:r>
              <w:t>0.45</w:t>
            </w:r>
          </w:p>
        </w:tc>
        <w:tc>
          <w:tcPr>
            <w:tcW w:w="1632" w:type="pct"/>
          </w:tcPr>
          <w:p w14:paraId="44AF9C4A" w14:textId="77777777" w:rsidR="003A1CE9" w:rsidRPr="00723FB4" w:rsidRDefault="003A1CE9" w:rsidP="00851780">
            <w:pPr>
              <w:pStyle w:val="Tabletext"/>
              <w:rPr>
                <w:lang w:eastAsia="en-AU"/>
              </w:rPr>
            </w:pPr>
            <w:r w:rsidRPr="00723FB4">
              <w:rPr>
                <w:lang w:eastAsia="en-AU"/>
              </w:rPr>
              <w:t>Quarry</w:t>
            </w:r>
          </w:p>
        </w:tc>
        <w:tc>
          <w:tcPr>
            <w:tcW w:w="793" w:type="pct"/>
          </w:tcPr>
          <w:p w14:paraId="200BA35B" w14:textId="77777777" w:rsidR="003A1CE9" w:rsidRPr="00723FB4" w:rsidRDefault="003A1CE9" w:rsidP="00851780">
            <w:pPr>
              <w:pStyle w:val="Tabletext"/>
              <w:rPr>
                <w:lang w:eastAsia="en-AU"/>
              </w:rPr>
            </w:pPr>
            <w:r>
              <w:t>0.12</w:t>
            </w:r>
          </w:p>
        </w:tc>
      </w:tr>
      <w:tr w:rsidR="003A1CE9" w:rsidRPr="00723FB4" w14:paraId="002E42BC" w14:textId="77777777" w:rsidTr="00F11047">
        <w:trPr>
          <w:trHeight w:val="315"/>
        </w:trPr>
        <w:tc>
          <w:tcPr>
            <w:tcW w:w="1741" w:type="pct"/>
            <w:noWrap/>
          </w:tcPr>
          <w:p w14:paraId="3C045A84" w14:textId="77777777" w:rsidR="003A1CE9" w:rsidRPr="00723FB4" w:rsidRDefault="003A1CE9" w:rsidP="00851780">
            <w:pPr>
              <w:pStyle w:val="Tabletext"/>
              <w:rPr>
                <w:lang w:eastAsia="en-AU"/>
              </w:rPr>
            </w:pPr>
            <w:r w:rsidRPr="00723FB4">
              <w:rPr>
                <w:lang w:eastAsia="en-AU"/>
              </w:rPr>
              <w:t>Railway</w:t>
            </w:r>
          </w:p>
        </w:tc>
        <w:tc>
          <w:tcPr>
            <w:tcW w:w="834" w:type="pct"/>
          </w:tcPr>
          <w:p w14:paraId="0E11584B" w14:textId="77777777" w:rsidR="003A1CE9" w:rsidRPr="00723FB4" w:rsidRDefault="003A1CE9" w:rsidP="00851780">
            <w:pPr>
              <w:pStyle w:val="Tabletext"/>
              <w:rPr>
                <w:lang w:eastAsia="en-AU"/>
              </w:rPr>
            </w:pPr>
            <w:r>
              <w:t>0.42</w:t>
            </w:r>
          </w:p>
        </w:tc>
        <w:tc>
          <w:tcPr>
            <w:tcW w:w="1632" w:type="pct"/>
          </w:tcPr>
          <w:p w14:paraId="4A74DCA8" w14:textId="77777777" w:rsidR="003A1CE9" w:rsidRPr="00723FB4" w:rsidRDefault="003A1CE9" w:rsidP="00851780">
            <w:pPr>
              <w:pStyle w:val="Tabletext"/>
              <w:rPr>
                <w:lang w:eastAsia="en-AU"/>
              </w:rPr>
            </w:pPr>
            <w:r w:rsidRPr="00723FB4">
              <w:rPr>
                <w:lang w:eastAsia="en-AU"/>
              </w:rPr>
              <w:t>Forest</w:t>
            </w:r>
          </w:p>
        </w:tc>
        <w:tc>
          <w:tcPr>
            <w:tcW w:w="793" w:type="pct"/>
          </w:tcPr>
          <w:p w14:paraId="004207B4" w14:textId="77777777" w:rsidR="003A1CE9" w:rsidRPr="00723FB4" w:rsidRDefault="003A1CE9" w:rsidP="00851780">
            <w:pPr>
              <w:pStyle w:val="Tabletext"/>
              <w:rPr>
                <w:lang w:eastAsia="en-AU"/>
              </w:rPr>
            </w:pPr>
            <w:r>
              <w:t>0</w:t>
            </w:r>
          </w:p>
        </w:tc>
      </w:tr>
      <w:tr w:rsidR="003A1CE9" w:rsidRPr="00723FB4" w14:paraId="3A8AC995" w14:textId="77777777" w:rsidTr="00F11047">
        <w:trPr>
          <w:trHeight w:val="315"/>
        </w:trPr>
        <w:tc>
          <w:tcPr>
            <w:tcW w:w="1741" w:type="pct"/>
            <w:noWrap/>
          </w:tcPr>
          <w:p w14:paraId="09C2DE93" w14:textId="77777777" w:rsidR="003A1CE9" w:rsidRPr="00723FB4" w:rsidRDefault="003A1CE9" w:rsidP="00851780">
            <w:pPr>
              <w:pStyle w:val="Tabletext"/>
              <w:rPr>
                <w:lang w:eastAsia="en-AU"/>
              </w:rPr>
            </w:pPr>
            <w:r w:rsidRPr="00723FB4">
              <w:rPr>
                <w:lang w:eastAsia="en-AU"/>
              </w:rPr>
              <w:t>Road</w:t>
            </w:r>
          </w:p>
        </w:tc>
        <w:tc>
          <w:tcPr>
            <w:tcW w:w="834" w:type="pct"/>
          </w:tcPr>
          <w:p w14:paraId="13E158B4" w14:textId="77777777" w:rsidR="003A1CE9" w:rsidRPr="00723FB4" w:rsidRDefault="003A1CE9" w:rsidP="00851780">
            <w:pPr>
              <w:pStyle w:val="Tabletext"/>
              <w:rPr>
                <w:lang w:eastAsia="en-AU"/>
              </w:rPr>
            </w:pPr>
            <w:r>
              <w:t>0.39</w:t>
            </w:r>
          </w:p>
        </w:tc>
        <w:tc>
          <w:tcPr>
            <w:tcW w:w="1632" w:type="pct"/>
          </w:tcPr>
          <w:p w14:paraId="47149EC7" w14:textId="77777777" w:rsidR="003A1CE9" w:rsidRPr="00723FB4" w:rsidRDefault="003A1CE9" w:rsidP="00851780">
            <w:pPr>
              <w:pStyle w:val="Tabletext"/>
              <w:rPr>
                <w:lang w:eastAsia="en-AU"/>
              </w:rPr>
            </w:pPr>
            <w:r w:rsidRPr="00723FB4">
              <w:rPr>
                <w:lang w:eastAsia="en-AU"/>
              </w:rPr>
              <w:t>Plantation</w:t>
            </w:r>
          </w:p>
        </w:tc>
        <w:tc>
          <w:tcPr>
            <w:tcW w:w="793" w:type="pct"/>
          </w:tcPr>
          <w:p w14:paraId="7D1C1CD3" w14:textId="77777777" w:rsidR="003A1CE9" w:rsidRPr="00723FB4" w:rsidRDefault="003A1CE9" w:rsidP="00851780">
            <w:pPr>
              <w:pStyle w:val="Tabletext"/>
              <w:rPr>
                <w:lang w:eastAsia="en-AU"/>
              </w:rPr>
            </w:pPr>
            <w:r>
              <w:t>0.06</w:t>
            </w:r>
          </w:p>
        </w:tc>
      </w:tr>
    </w:tbl>
    <w:p w14:paraId="76662329" w14:textId="47C80995" w:rsidR="003A1CE9" w:rsidRDefault="003A1CE9" w:rsidP="00F11047">
      <w:pPr>
        <w:pStyle w:val="Para0"/>
        <w:rPr>
          <w:rFonts w:ascii="Calibri Light" w:hAnsi="Calibri Light" w:cs="Times New Roman"/>
          <w:lang w:val="en-AU"/>
        </w:rPr>
      </w:pPr>
      <w:r>
        <w:t>Routing models are set to straight-through routing (e.g. any observed attenuation of flows would occur within less than a day). This was necessary because the observed attenuation of flows at the links specified in the model would occur within less than a day and hence the effect of flow routing was unlikely to be significant.</w:t>
      </w:r>
    </w:p>
    <w:p w14:paraId="4752077E" w14:textId="6776A12E" w:rsidR="009D0D90" w:rsidRDefault="009D0D90" w:rsidP="00F11047">
      <w:pPr>
        <w:pStyle w:val="Para0"/>
      </w:pPr>
      <w:r w:rsidRPr="00A27C48">
        <w:t>In terms of the hydrology, the model is well calibrated at a daily timestep, and addresses all of the concerns raised by the peer review of the previous Cardinia Creek Source model as illustrated in</w:t>
      </w:r>
      <w:r w:rsidR="00E67EC2">
        <w:t xml:space="preserve"> </w:t>
      </w:r>
      <w:r w:rsidR="00E67EC2">
        <w:fldChar w:fldCharType="begin"/>
      </w:r>
      <w:r w:rsidR="00E67EC2">
        <w:instrText xml:space="preserve"> REF _Ref64636513 \h </w:instrText>
      </w:r>
      <w:r w:rsidR="00E67EC2">
        <w:fldChar w:fldCharType="separate"/>
      </w:r>
      <w:r w:rsidR="00BE5F47" w:rsidRPr="009038E7">
        <w:t xml:space="preserve">Figure </w:t>
      </w:r>
      <w:r w:rsidR="00BE5F47">
        <w:rPr>
          <w:noProof/>
        </w:rPr>
        <w:t>A</w:t>
      </w:r>
      <w:r w:rsidR="00BE5F47" w:rsidRPr="009038E7">
        <w:t>.</w:t>
      </w:r>
      <w:r w:rsidR="00BE5F47">
        <w:rPr>
          <w:noProof/>
        </w:rPr>
        <w:t>1</w:t>
      </w:r>
      <w:r w:rsidR="00E67EC2">
        <w:fldChar w:fldCharType="end"/>
      </w:r>
      <w:r w:rsidRPr="00A27C48">
        <w:t xml:space="preserve">. The Westernport </w:t>
      </w:r>
      <w:r>
        <w:t xml:space="preserve">dSedNet </w:t>
      </w:r>
      <w:r w:rsidRPr="00A27C48">
        <w:t>Source model estimates peak and low flows better than the Cardinia Creek Source model, which is important for providing quantitative metrics as outlined by the Alluvium review.</w:t>
      </w:r>
    </w:p>
    <w:p w14:paraId="10DC3B68" w14:textId="6C93208C" w:rsidR="009D0D90" w:rsidRDefault="009D0D90" w:rsidP="009D0D90">
      <w:pPr>
        <w:pStyle w:val="Para0"/>
        <w:keepNext/>
      </w:pPr>
      <w:r>
        <w:rPr>
          <w:noProof/>
        </w:rPr>
        <w:lastRenderedPageBreak/>
        <w:drawing>
          <wp:inline distT="0" distB="0" distL="0" distR="0" wp14:anchorId="027B58D5" wp14:editId="510B8B2A">
            <wp:extent cx="5686425" cy="3119289"/>
            <wp:effectExtent l="0" t="0" r="0" b="5080"/>
            <wp:docPr id="6146" name="Picture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5698651" cy="3125995"/>
                    </a:xfrm>
                    <a:prstGeom prst="rect">
                      <a:avLst/>
                    </a:prstGeom>
                    <a:noFill/>
                  </pic:spPr>
                </pic:pic>
              </a:graphicData>
            </a:graphic>
          </wp:inline>
        </w:drawing>
      </w:r>
    </w:p>
    <w:p w14:paraId="6BDFC451" w14:textId="7D4F171D" w:rsidR="009D0D90" w:rsidRDefault="00E67EC2">
      <w:pPr>
        <w:pStyle w:val="Caption"/>
        <w:keepNext w:val="0"/>
      </w:pPr>
      <w:bookmarkStart w:id="108" w:name="_Ref64636513"/>
      <w:bookmarkStart w:id="109" w:name="_Ref27063765"/>
      <w:r w:rsidRPr="009038E7">
        <w:t xml:space="preserve">Figure </w:t>
      </w:r>
      <w:r>
        <w:fldChar w:fldCharType="begin"/>
      </w:r>
      <w:r>
        <w:instrText xml:space="preserve"> STYLEREF 9 \s </w:instrText>
      </w:r>
      <w:r>
        <w:fldChar w:fldCharType="separate"/>
      </w:r>
      <w:r w:rsidR="00BE5F47">
        <w:rPr>
          <w:noProof/>
        </w:rPr>
        <w:t>A</w:t>
      </w:r>
      <w:r>
        <w:fldChar w:fldCharType="end"/>
      </w:r>
      <w:r w:rsidRPr="009038E7">
        <w:t>.</w:t>
      </w:r>
      <w:r>
        <w:fldChar w:fldCharType="begin"/>
      </w:r>
      <w:r>
        <w:instrText xml:space="preserve"> SEQ Figure \* ARABIC \s 9 </w:instrText>
      </w:r>
      <w:r>
        <w:fldChar w:fldCharType="separate"/>
      </w:r>
      <w:r w:rsidR="00BE5F47">
        <w:rPr>
          <w:noProof/>
        </w:rPr>
        <w:t>1</w:t>
      </w:r>
      <w:r>
        <w:rPr>
          <w:noProof/>
        </w:rPr>
        <w:fldChar w:fldCharType="end"/>
      </w:r>
      <w:bookmarkEnd w:id="108"/>
      <w:r w:rsidRPr="009038E7">
        <w:t>:</w:t>
      </w:r>
      <w:bookmarkEnd w:id="109"/>
      <w:r>
        <w:t xml:space="preserve"> </w:t>
      </w:r>
      <w:r w:rsidR="009D0D90">
        <w:t>Comparison of simulated flows and observed flow at 228228 Cardinia Creek at Chasemore Rd, Cardinia.</w:t>
      </w:r>
    </w:p>
    <w:p w14:paraId="0BFFB354" w14:textId="50205833" w:rsidR="00B83846" w:rsidRDefault="00B83846" w:rsidP="00F11047">
      <w:pPr>
        <w:pStyle w:val="Appendixsubheading1"/>
      </w:pPr>
      <w:bookmarkStart w:id="110" w:name="_Toc27065919"/>
      <w:bookmarkStart w:id="111" w:name="_Toc69461584"/>
      <w:r>
        <w:t>PSP development: review of MUSIC models</w:t>
      </w:r>
      <w:bookmarkEnd w:id="110"/>
      <w:bookmarkEnd w:id="111"/>
    </w:p>
    <w:p w14:paraId="613CE3C8" w14:textId="027B9424" w:rsidR="009D0D90" w:rsidRPr="003C72AD" w:rsidRDefault="009D0D90" w:rsidP="009D0D90">
      <w:pPr>
        <w:pStyle w:val="Para0"/>
      </w:pPr>
      <w:r w:rsidRPr="003C72AD">
        <w:t xml:space="preserve">While the source model is suitable for modelling flows in Cardinia Creek catchment, it needs to be coupled with a model for each PSP that can </w:t>
      </w:r>
      <w:r w:rsidR="00794845">
        <w:t>simulate the</w:t>
      </w:r>
      <w:r w:rsidRPr="003C72AD">
        <w:t xml:space="preserve"> post-development </w:t>
      </w:r>
      <w:r w:rsidR="00794845">
        <w:t xml:space="preserve">flows </w:t>
      </w:r>
      <w:r w:rsidRPr="003C72AD">
        <w:t xml:space="preserve">at the PSP scale. The proposed PSP developments will substantially increase the impervious area, and subsequently the proportion of rainfall which will become surface runoff. The stormwater management and drainage designs that are proposed for each PSP identifies the mitigation works required to offset the impact of urban development on the local and downstream receiving waters. </w:t>
      </w:r>
    </w:p>
    <w:p w14:paraId="77FB479E" w14:textId="4980B389" w:rsidR="009D0D90" w:rsidRDefault="009D0D90" w:rsidP="009D0D90">
      <w:pPr>
        <w:pStyle w:val="Para0"/>
      </w:pPr>
      <w:r w:rsidRPr="003C72AD">
        <w:t xml:space="preserve">For deriving the specific impacts of development in the three PSP areas we </w:t>
      </w:r>
      <w:r w:rsidR="00794845">
        <w:t>used</w:t>
      </w:r>
      <w:r w:rsidRPr="003C72AD">
        <w:t xml:space="preserve"> the existing MUSIC models, </w:t>
      </w:r>
      <w:r w:rsidR="00E67EC2">
        <w:t>provided by Melbourne Water. The MUSIC models</w:t>
      </w:r>
      <w:r w:rsidRPr="003C72AD">
        <w:t xml:space="preserve"> produce daily and sub-daily flows for post-development conditions (i.e. based on</w:t>
      </w:r>
      <w:r>
        <w:t xml:space="preserve"> current</w:t>
      </w:r>
      <w:r w:rsidRPr="003C72AD">
        <w:t xml:space="preserve"> PSP designs, changes in land use, increases in catchment imperviousness, drainage network design etc). The MUSIC modelled flows </w:t>
      </w:r>
      <w:r w:rsidR="00752B89">
        <w:t xml:space="preserve">provide </w:t>
      </w:r>
      <w:r w:rsidRPr="003C72AD">
        <w:t xml:space="preserve">inputs to the Source </w:t>
      </w:r>
      <w:r w:rsidR="00752B89">
        <w:t xml:space="preserve">catchment </w:t>
      </w:r>
      <w:r w:rsidRPr="003C72AD">
        <w:t>model as the additional contributing flows to Cardinia Creek at the outfall locations</w:t>
      </w:r>
      <w:r w:rsidR="00752B89">
        <w:t xml:space="preserve">. This enables the catchment model to </w:t>
      </w:r>
      <w:r w:rsidRPr="003C72AD">
        <w:t>assess the cumulative changes across the catchment impacting the Bay. This approach provides an integrated solution for the hydrological modelling and assessment.</w:t>
      </w:r>
    </w:p>
    <w:p w14:paraId="73C8277F" w14:textId="55DAF916" w:rsidR="00B83846" w:rsidRDefault="00B83846" w:rsidP="00B83846">
      <w:pPr>
        <w:pStyle w:val="Para0"/>
      </w:pPr>
      <w:r>
        <w:t>The appropriate MUSIC models for each PSP have been obtained from Melbourne Water and confirmed as representative of the current drainage design, including Water Sensitive Urban Design (WSUD) features. Melbourne Water has confirmed the MUSIC model versions as:</w:t>
      </w:r>
    </w:p>
    <w:tbl>
      <w:tblPr>
        <w:tblStyle w:val="TableGridLight"/>
        <w:tblW w:w="0" w:type="auto"/>
        <w:tblLook w:val="04A0" w:firstRow="1" w:lastRow="0" w:firstColumn="1" w:lastColumn="0" w:noHBand="0" w:noVBand="1"/>
      </w:tblPr>
      <w:tblGrid>
        <w:gridCol w:w="1878"/>
        <w:gridCol w:w="2498"/>
        <w:gridCol w:w="5530"/>
      </w:tblGrid>
      <w:tr w:rsidR="00B83846" w14:paraId="3D0F9DD9" w14:textId="77777777" w:rsidTr="00F11047">
        <w:tc>
          <w:tcPr>
            <w:tcW w:w="2242" w:type="dxa"/>
            <w:shd w:val="clear" w:color="auto" w:fill="E5E5E5" w:themeFill="background2"/>
          </w:tcPr>
          <w:p w14:paraId="53233711" w14:textId="508A560D" w:rsidR="00B83846" w:rsidRPr="00F11047" w:rsidRDefault="00B83846" w:rsidP="00F11047">
            <w:pPr>
              <w:pStyle w:val="Tabletext"/>
              <w:rPr>
                <w:b/>
                <w:bCs/>
              </w:rPr>
            </w:pPr>
            <w:r w:rsidRPr="00F11047">
              <w:rPr>
                <w:b/>
                <w:bCs/>
              </w:rPr>
              <w:t>PSP</w:t>
            </w:r>
          </w:p>
        </w:tc>
        <w:tc>
          <w:tcPr>
            <w:tcW w:w="3423" w:type="dxa"/>
            <w:shd w:val="clear" w:color="auto" w:fill="E5E5E5" w:themeFill="background2"/>
          </w:tcPr>
          <w:p w14:paraId="09046CC8" w14:textId="7F7B46F7" w:rsidR="00B83846" w:rsidRPr="00F11047" w:rsidRDefault="00B83846" w:rsidP="00F11047">
            <w:pPr>
              <w:pStyle w:val="Tabletext"/>
              <w:rPr>
                <w:b/>
                <w:bCs/>
              </w:rPr>
            </w:pPr>
            <w:r w:rsidRPr="00F11047">
              <w:rPr>
                <w:b/>
                <w:bCs/>
              </w:rPr>
              <w:t>Developer / reference</w:t>
            </w:r>
          </w:p>
        </w:tc>
        <w:tc>
          <w:tcPr>
            <w:tcW w:w="4241" w:type="dxa"/>
            <w:shd w:val="clear" w:color="auto" w:fill="E5E5E5" w:themeFill="background2"/>
          </w:tcPr>
          <w:p w14:paraId="09CDF3D3" w14:textId="55055108" w:rsidR="00B83846" w:rsidRPr="00F11047" w:rsidRDefault="00B83846" w:rsidP="00F11047">
            <w:pPr>
              <w:pStyle w:val="Tabletext"/>
              <w:rPr>
                <w:b/>
                <w:bCs/>
              </w:rPr>
            </w:pPr>
            <w:r w:rsidRPr="00F11047">
              <w:rPr>
                <w:b/>
                <w:bCs/>
              </w:rPr>
              <w:t>MUSIC model scenario &amp; file</w:t>
            </w:r>
          </w:p>
        </w:tc>
      </w:tr>
      <w:tr w:rsidR="00B83846" w14:paraId="2EE199E3" w14:textId="77777777" w:rsidTr="00F11047">
        <w:tc>
          <w:tcPr>
            <w:tcW w:w="2242" w:type="dxa"/>
          </w:tcPr>
          <w:p w14:paraId="1B277084" w14:textId="16DFC4B3" w:rsidR="00B83846" w:rsidRDefault="00B83846" w:rsidP="00F11047">
            <w:pPr>
              <w:pStyle w:val="Tabletext"/>
            </w:pPr>
            <w:r>
              <w:t xml:space="preserve">Cardinia South (McPherson) PSP </w:t>
            </w:r>
          </w:p>
        </w:tc>
        <w:tc>
          <w:tcPr>
            <w:tcW w:w="3423" w:type="dxa"/>
          </w:tcPr>
          <w:p w14:paraId="531433E5" w14:textId="7BABC8A8" w:rsidR="00B83846" w:rsidRDefault="00B83846" w:rsidP="00F11047">
            <w:pPr>
              <w:pStyle w:val="Tabletext"/>
            </w:pPr>
            <w:r>
              <w:t>Alluvium (2016)</w:t>
            </w:r>
          </w:p>
        </w:tc>
        <w:tc>
          <w:tcPr>
            <w:tcW w:w="4241" w:type="dxa"/>
          </w:tcPr>
          <w:p w14:paraId="2637101A" w14:textId="77777777" w:rsidR="00B83846" w:rsidRDefault="00B83846" w:rsidP="00F11047">
            <w:pPr>
              <w:pStyle w:val="Tabletext"/>
            </w:pPr>
            <w:r>
              <w:t>No regional park scenario</w:t>
            </w:r>
          </w:p>
          <w:p w14:paraId="4917BE05" w14:textId="2A998871" w:rsidR="00B83846" w:rsidRDefault="00B83846" w:rsidP="00F11047">
            <w:pPr>
              <w:pStyle w:val="Tabletext"/>
            </w:pPr>
            <w:r w:rsidRPr="007151DD">
              <w:rPr>
                <w:i/>
              </w:rPr>
              <w:t>McPherson_North_85%_TSS_updated_PSP_May2017v2.sqz</w:t>
            </w:r>
          </w:p>
        </w:tc>
      </w:tr>
      <w:tr w:rsidR="00B83846" w14:paraId="38637784" w14:textId="77777777" w:rsidTr="00F11047">
        <w:tc>
          <w:tcPr>
            <w:tcW w:w="2242" w:type="dxa"/>
          </w:tcPr>
          <w:p w14:paraId="1FD96BAA" w14:textId="6B14E1CD" w:rsidR="00B83846" w:rsidRDefault="00B83846" w:rsidP="00F11047">
            <w:pPr>
              <w:pStyle w:val="Tabletext"/>
            </w:pPr>
            <w:r>
              <w:t>Officer South (includes Officer PSP)</w:t>
            </w:r>
          </w:p>
        </w:tc>
        <w:tc>
          <w:tcPr>
            <w:tcW w:w="3423" w:type="dxa"/>
          </w:tcPr>
          <w:p w14:paraId="73041632" w14:textId="4CC30434" w:rsidR="00B83846" w:rsidRDefault="00B83846" w:rsidP="00F11047">
            <w:pPr>
              <w:pStyle w:val="Tabletext"/>
            </w:pPr>
            <w:r>
              <w:t>Original model developed by Stormy Water Solutions (); Model updated by MW (2019)</w:t>
            </w:r>
          </w:p>
        </w:tc>
        <w:tc>
          <w:tcPr>
            <w:tcW w:w="4241" w:type="dxa"/>
          </w:tcPr>
          <w:p w14:paraId="7ED47A44" w14:textId="4D65E78E" w:rsidR="00B83846" w:rsidRDefault="00B83846" w:rsidP="00F11047">
            <w:pPr>
              <w:pStyle w:val="Tabletext"/>
            </w:pPr>
            <w:r w:rsidRPr="007151DD">
              <w:rPr>
                <w:i/>
              </w:rPr>
              <w:t>Officer &amp; Officer Sth DSS_Jan2020.sqz</w:t>
            </w:r>
          </w:p>
        </w:tc>
      </w:tr>
      <w:tr w:rsidR="00B83846" w14:paraId="5809F638" w14:textId="77777777" w:rsidTr="00F11047">
        <w:tc>
          <w:tcPr>
            <w:tcW w:w="2242" w:type="dxa"/>
          </w:tcPr>
          <w:p w14:paraId="5AECE3AF" w14:textId="758752AA" w:rsidR="00B83846" w:rsidRDefault="00B83846" w:rsidP="00F11047">
            <w:pPr>
              <w:pStyle w:val="Tabletext"/>
            </w:pPr>
            <w:r>
              <w:t>Minta Farm PSP</w:t>
            </w:r>
          </w:p>
        </w:tc>
        <w:tc>
          <w:tcPr>
            <w:tcW w:w="3423" w:type="dxa"/>
          </w:tcPr>
          <w:p w14:paraId="4CE79D85" w14:textId="60A2C8F2" w:rsidR="00B83846" w:rsidRDefault="00B83846" w:rsidP="00F11047">
            <w:pPr>
              <w:pStyle w:val="Tabletext"/>
            </w:pPr>
            <w:r>
              <w:t>Alluvium (2019)</w:t>
            </w:r>
          </w:p>
        </w:tc>
        <w:tc>
          <w:tcPr>
            <w:tcW w:w="4241" w:type="dxa"/>
          </w:tcPr>
          <w:p w14:paraId="5BB13AF6" w14:textId="56FB2133" w:rsidR="00B83846" w:rsidRDefault="00B83846" w:rsidP="00B83846">
            <w:pPr>
              <w:pStyle w:val="Tabletext"/>
            </w:pPr>
            <w:r>
              <w:t>Model is split into north and south areas</w:t>
            </w:r>
          </w:p>
          <w:p w14:paraId="6C92D533" w14:textId="097D203B" w:rsidR="00B83846" w:rsidRDefault="00B83846" w:rsidP="00F11047">
            <w:pPr>
              <w:pStyle w:val="Tabletext"/>
            </w:pPr>
            <w:r w:rsidRPr="007151DD">
              <w:rPr>
                <w:i/>
              </w:rPr>
              <w:t xml:space="preserve">minta south wl3 wl4 with pond 3 20191126.sqz </w:t>
            </w:r>
            <w:r w:rsidRPr="007151DD">
              <w:t>and</w:t>
            </w:r>
            <w:r w:rsidRPr="007151DD">
              <w:rPr>
                <w:i/>
              </w:rPr>
              <w:t xml:space="preserve"> Minta_farm_north_treatment_scenario 1b.sqz</w:t>
            </w:r>
          </w:p>
        </w:tc>
      </w:tr>
    </w:tbl>
    <w:p w14:paraId="31FDD444" w14:textId="2CA8C3A5" w:rsidR="00B83846" w:rsidRDefault="00B83846" w:rsidP="00B83846">
      <w:pPr>
        <w:pStyle w:val="Para0"/>
      </w:pPr>
      <w:r>
        <w:lastRenderedPageBreak/>
        <w:t>In terms of drainage design conceptualisation and features the</w:t>
      </w:r>
      <w:r w:rsidRPr="00F46502">
        <w:t xml:space="preserve"> Minta Farm </w:t>
      </w:r>
      <w:r>
        <w:t xml:space="preserve">and Cardinia South </w:t>
      </w:r>
      <w:r w:rsidRPr="00F46502">
        <w:t>MUSIC models have been used unaltered.</w:t>
      </w:r>
      <w:r>
        <w:t xml:space="preserve"> It is worth noting that the Cardinia South PSP MUSIC model contains areas that do not contribute flows to Cardinia Creek (i.e. </w:t>
      </w:r>
      <w:r w:rsidRPr="00FE1AD1">
        <w:t>Muddy Gates Drain flows south before discharging into Westernport Bay</w:t>
      </w:r>
      <w:r w:rsidR="008F42E8">
        <w:t>) and are thus excluded</w:t>
      </w:r>
      <w:r>
        <w:t xml:space="preserve"> from the modelling for this project.</w:t>
      </w:r>
    </w:p>
    <w:p w14:paraId="1A3A9B2B" w14:textId="6B09C1B3" w:rsidR="00B83846" w:rsidRPr="00F46502" w:rsidRDefault="008F42E8" w:rsidP="00B83846">
      <w:pPr>
        <w:pStyle w:val="Para0"/>
      </w:pPr>
      <w:r>
        <w:t>G</w:t>
      </w:r>
      <w:r w:rsidR="00B83846" w:rsidRPr="00F46502">
        <w:t xml:space="preserve">iven the </w:t>
      </w:r>
      <w:r w:rsidR="0023198F">
        <w:t>Officer South Employment PSP</w:t>
      </w:r>
      <w:r w:rsidR="00B83846" w:rsidRPr="00F46502">
        <w:t xml:space="preserve"> drainage design and MUSIC model were developed in 2011, Melbourne Water have updated the model to reflect the actual stormwater quality treatment works built over the last 10 years in the area. Both the Officer DSS 1315 and Officer South DSS 1304 have been combined into a single MUSIC model, </w:t>
      </w:r>
      <w:r w:rsidR="00B83846">
        <w:t>because</w:t>
      </w:r>
      <w:r w:rsidR="00B83846" w:rsidRPr="00F46502">
        <w:t xml:space="preserve"> part of the Officer South wetland system is designed to treat stormwater generated from the Officer PSP North of Pakenham Bypass. Future scheme stormwater treatment assets likely to be constructed in the future have been retained in the model.</w:t>
      </w:r>
      <w:r w:rsidR="00B83846">
        <w:t xml:space="preserve"> In addition, climate inputs have been updated to extend the MUSIC model simulation to a </w:t>
      </w:r>
      <w:r w:rsidR="00F11047">
        <w:t>10-year</w:t>
      </w:r>
      <w:r w:rsidR="00B83846">
        <w:t xml:space="preserve"> period (original model was constrained to 2004 climate input). </w:t>
      </w:r>
    </w:p>
    <w:p w14:paraId="431730AB" w14:textId="77777777" w:rsidR="008F42E8" w:rsidRPr="00F46502" w:rsidRDefault="008F42E8" w:rsidP="008F42E8">
      <w:pPr>
        <w:pStyle w:val="Para0"/>
      </w:pPr>
      <w:r w:rsidRPr="00F46502">
        <w:t>The following assumptions have been noted</w:t>
      </w:r>
      <w:r>
        <w:t xml:space="preserve"> by Melbourne Water</w:t>
      </w:r>
      <w:r w:rsidRPr="00F46502">
        <w:t xml:space="preserve"> in consolidating the Officer/Officer South MUSIC models:</w:t>
      </w:r>
    </w:p>
    <w:p w14:paraId="6BB2E636" w14:textId="77777777" w:rsidR="008F42E8" w:rsidRPr="00F46502" w:rsidRDefault="008F42E8" w:rsidP="008F42E8">
      <w:pPr>
        <w:pStyle w:val="Para0bullet"/>
      </w:pPr>
      <w:r w:rsidRPr="00F46502">
        <w:t xml:space="preserve">All agricultural catchment source nodes north of Brown Road have been removed from the model to avoid double counting flows already generated by the Source Catchments model. </w:t>
      </w:r>
    </w:p>
    <w:p w14:paraId="49369A81" w14:textId="77777777" w:rsidR="008F42E8" w:rsidRPr="006B27C6" w:rsidRDefault="008F42E8" w:rsidP="008F42E8">
      <w:pPr>
        <w:pStyle w:val="Para0bullet"/>
      </w:pPr>
      <w:r w:rsidRPr="006B27C6">
        <w:t xml:space="preserve">Officer South DSS 1304: ORD 1 has not been constructed as a wetland, but has been retained as a waterway with a sediment basin constructed at Bridge Rd. Both ORD 2 &amp; 3 wetlands are the stormwater quality treatment for Officer DSS, which are online wetland systems at this time and will be subject to further revision. </w:t>
      </w:r>
    </w:p>
    <w:p w14:paraId="4ED22E7D" w14:textId="77777777" w:rsidR="008F42E8" w:rsidRPr="006B27C6" w:rsidRDefault="008F42E8" w:rsidP="008F42E8">
      <w:pPr>
        <w:pStyle w:val="Para0bullet"/>
      </w:pPr>
      <w:r w:rsidRPr="006B27C6">
        <w:t xml:space="preserve">All sediment basins for Officer South DSS are offline to the wetland system which is a change from the SWS (2011) drawings. </w:t>
      </w:r>
    </w:p>
    <w:p w14:paraId="704E5344" w14:textId="77777777" w:rsidR="008F42E8" w:rsidRPr="00B3339F" w:rsidRDefault="008F42E8" w:rsidP="008F42E8">
      <w:pPr>
        <w:pStyle w:val="Para0bullet"/>
      </w:pPr>
      <w:r w:rsidRPr="00B3339F">
        <w:t xml:space="preserve">Proposed wetland ORD 4A &amp; 4B have been combined at this time as one wetland asset (ORD 4) with offline sediment basin assumed. Sediment basin S2 &amp; S3 have also been combined at this time. The catchment area that feeds into each sediment basin (S2 &amp; S3) has been designed with separate source nodes in the MUSIC model. The area for S2 has been taken from all of property no. 22-24 and the section of no. 25 which sits above the gas easement. The area for S3 is all of property no. 26 and the section of property no. 25 which sits to the right of the blue dotted line between nodes G2 and J1. </w:t>
      </w:r>
    </w:p>
    <w:p w14:paraId="07DD3A16" w14:textId="77777777" w:rsidR="008F42E8" w:rsidRDefault="008F42E8" w:rsidP="008F42E8">
      <w:pPr>
        <w:pStyle w:val="Para0bullet"/>
      </w:pPr>
      <w:r w:rsidRPr="00880F27">
        <w:t xml:space="preserve">ORD 5 is the last wetland treatment for Officer South catchment to then discharge flows from this wetland into Cardinia Creek. High flow from ORD 4 wetland will travel through ORD 5 wetland, and low flow will connect to existing drains which run alongside ORD 5 and into Cardinia Creek. The area for sediment basin S4 is taken from all of property no. 27 &amp; 28 and the section of property no. 25 which sits to the left of the blue dotted line between nodes G2 and J1. </w:t>
      </w:r>
    </w:p>
    <w:p w14:paraId="6E110DCB" w14:textId="427A9C3B" w:rsidR="008F42E8" w:rsidRDefault="008F42E8" w:rsidP="00F11047">
      <w:pPr>
        <w:pStyle w:val="Appendixsubheading2"/>
      </w:pPr>
      <w:bookmarkStart w:id="112" w:name="_Toc69461585"/>
      <w:r>
        <w:t>Adjustment of climate period and inputs</w:t>
      </w:r>
      <w:bookmarkEnd w:id="112"/>
    </w:p>
    <w:p w14:paraId="4D0A2480" w14:textId="0CD8A3D0" w:rsidR="008F42E8" w:rsidRPr="00011B12" w:rsidRDefault="008F42E8" w:rsidP="008F42E8">
      <w:pPr>
        <w:pStyle w:val="Para0"/>
      </w:pPr>
      <w:r w:rsidRPr="00011B12">
        <w:t>In order to integrate the PSP inflows into the catchment model the MUSIC model simulation period needs to align with the simulation period of the Source model. The Source model has a simulation period of 1970 to 2016, but Cardinia reservoir releases begin in 1980. The Minta Farm MUSIC models use the Narre Warren rainfall template with simulation period of 1984-1993. The Cardinia South and Officer/Officer South MUSIC models use the Koo Wee Rup rainfall template with simulation period of 1971 to 1980.</w:t>
      </w:r>
    </w:p>
    <w:p w14:paraId="1927196B" w14:textId="233E90D7" w:rsidR="008F42E8" w:rsidRPr="000974F4" w:rsidRDefault="008F42E8" w:rsidP="008F42E8">
      <w:pPr>
        <w:pStyle w:val="Para0"/>
      </w:pPr>
      <w:r w:rsidRPr="000974F4">
        <w:t>The Koo Wee Rup rainfall template is recommended by the</w:t>
      </w:r>
      <w:r>
        <w:t xml:space="preserve"> current</w:t>
      </w:r>
      <w:r w:rsidRPr="000974F4">
        <w:t xml:space="preserve"> Melbourne Water MUSIC modelling guidelines</w:t>
      </w:r>
      <w:r>
        <w:t xml:space="preserve"> (Melbourne Water, 2018)</w:t>
      </w:r>
      <w:r w:rsidRPr="000974F4">
        <w:t>, but this simulation period would not include Cardinia Reservoir releases in the Source model, and would be less representative of current conditions from a catchment modelling perspective. Although the Koo Wee Rup rainfall template provides dr</w:t>
      </w:r>
      <w:r>
        <w:t>i</w:t>
      </w:r>
      <w:r w:rsidRPr="000974F4">
        <w:t>er rainfall years, it is comparable to the Narre Warren rainfall template in relation to observed rainfall at the closest rainfall station</w:t>
      </w:r>
      <w:r>
        <w:t xml:space="preserve"> to the PSPs</w:t>
      </w:r>
      <w:r w:rsidRPr="000974F4">
        <w:t xml:space="preserve"> (Berwick – 86299). </w:t>
      </w:r>
      <w:r w:rsidR="00BE5F47">
        <w:t>Figure A.2</w:t>
      </w:r>
      <w:r w:rsidRPr="000974F4">
        <w:t xml:space="preserve"> illustrates the correlation between observed total annual rainfall and the AWAP rainfall data used in the Source model and the rainfall templates used in the MUSIC models. Each of the model input datasets exhibit similar variations from the observed rainfall.</w:t>
      </w:r>
    </w:p>
    <w:p w14:paraId="0C06EC53" w14:textId="77777777" w:rsidR="008F42E8" w:rsidRPr="000974F4" w:rsidRDefault="008F42E8" w:rsidP="008F42E8">
      <w:pPr>
        <w:pStyle w:val="Para0"/>
      </w:pPr>
      <w:r w:rsidRPr="000974F4">
        <w:lastRenderedPageBreak/>
        <w:t>As such the Narre Warren rainfall template was adopted for the Officer South and Cardinia South MUSIC models to provide a comparative simulation period for the catchment modelling that included the Cardinia reservoir releases.</w:t>
      </w:r>
    </w:p>
    <w:p w14:paraId="00A4E673" w14:textId="6987CC81" w:rsidR="008F42E8" w:rsidRDefault="008F42E8" w:rsidP="008F42E8">
      <w:pPr>
        <w:pStyle w:val="Para0"/>
        <w:keepNext/>
        <w:jc w:val="center"/>
      </w:pPr>
      <w:r>
        <w:rPr>
          <w:noProof/>
        </w:rPr>
        <w:drawing>
          <wp:inline distT="0" distB="0" distL="0" distR="0" wp14:anchorId="4188A356" wp14:editId="31EEEFA9">
            <wp:extent cx="5495925" cy="31069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07809" cy="3113656"/>
                    </a:xfrm>
                    <a:prstGeom prst="rect">
                      <a:avLst/>
                    </a:prstGeom>
                    <a:noFill/>
                  </pic:spPr>
                </pic:pic>
              </a:graphicData>
            </a:graphic>
          </wp:inline>
        </w:drawing>
      </w:r>
    </w:p>
    <w:p w14:paraId="51298964" w14:textId="24DEC2D9" w:rsidR="008F42E8" w:rsidRPr="00D118B4" w:rsidRDefault="008F42E8" w:rsidP="008F42E8">
      <w:pPr>
        <w:pStyle w:val="Caption"/>
        <w:rPr>
          <w:highlight w:val="yellow"/>
        </w:rPr>
      </w:pPr>
      <w:r>
        <w:t xml:space="preserve">Figure </w:t>
      </w:r>
      <w:r w:rsidR="00F11047">
        <w:t>A.</w:t>
      </w:r>
      <w:r>
        <w:fldChar w:fldCharType="begin"/>
      </w:r>
      <w:r>
        <w:instrText xml:space="preserve"> SEQ Figure \* ARABIC </w:instrText>
      </w:r>
      <w:r>
        <w:fldChar w:fldCharType="separate"/>
      </w:r>
      <w:r w:rsidR="00BE5F47">
        <w:rPr>
          <w:noProof/>
        </w:rPr>
        <w:t>2</w:t>
      </w:r>
      <w:r>
        <w:fldChar w:fldCharType="end"/>
      </w:r>
      <w:r>
        <w:t>. Comparison of annual total rainfall for model rainfall inputs and measured rainfall at the closest rainfall station (Berwick – 86299).</w:t>
      </w:r>
    </w:p>
    <w:p w14:paraId="1E1FD541" w14:textId="3D4DC02D" w:rsidR="008F42E8" w:rsidRDefault="008F42E8" w:rsidP="00F11047">
      <w:pPr>
        <w:pStyle w:val="Appendixsubheading1"/>
      </w:pPr>
      <w:bookmarkStart w:id="113" w:name="_Toc33440427"/>
      <w:bookmarkStart w:id="114" w:name="_Toc69461586"/>
      <w:r>
        <w:t>Selection of representative climate years</w:t>
      </w:r>
      <w:bookmarkEnd w:id="113"/>
      <w:bookmarkEnd w:id="114"/>
    </w:p>
    <w:p w14:paraId="4644CFFE" w14:textId="027550E5" w:rsidR="008F42E8" w:rsidRDefault="008F42E8" w:rsidP="008F42E8">
      <w:pPr>
        <w:pStyle w:val="Para0"/>
      </w:pPr>
      <w:r w:rsidRPr="000974F4">
        <w:rPr>
          <w:lang w:val="en-AU"/>
        </w:rPr>
        <w:t>Based on the Berwick rainfall station</w:t>
      </w:r>
      <w:r>
        <w:rPr>
          <w:lang w:val="en-AU"/>
        </w:rPr>
        <w:t xml:space="preserve"> (</w:t>
      </w:r>
      <w:r>
        <w:t>86299)</w:t>
      </w:r>
      <w:r w:rsidRPr="000974F4">
        <w:rPr>
          <w:lang w:val="en-AU"/>
        </w:rPr>
        <w:t xml:space="preserve"> data, </w:t>
      </w:r>
      <w:r>
        <w:rPr>
          <w:lang w:val="en-AU"/>
        </w:rPr>
        <w:t>‘W</w:t>
      </w:r>
      <w:r>
        <w:t>et’ years were calculated as those above the 80</w:t>
      </w:r>
      <w:r w:rsidRPr="000974F4">
        <w:rPr>
          <w:vertAlign w:val="superscript"/>
        </w:rPr>
        <w:t>th</w:t>
      </w:r>
      <w:r>
        <w:t xml:space="preserve"> percentile (1023 mm/yr) and ‘Dry’ years as those below 20</w:t>
      </w:r>
      <w:r w:rsidRPr="000974F4">
        <w:rPr>
          <w:vertAlign w:val="superscript"/>
        </w:rPr>
        <w:t>th</w:t>
      </w:r>
      <w:r>
        <w:t xml:space="preserve"> percentile (741 mm/yr) total annual rainfall. The long-term (1979 – 2019) average (892 mm/yr) was adopted to define an ‘Average’ year. </w:t>
      </w:r>
      <w:r w:rsidR="00BE5F47">
        <w:t>Table A.2</w:t>
      </w:r>
      <w:r>
        <w:t xml:space="preserve"> summarises the total annual rainfall amounts for the selected representative Wet/Dry/Average years, and </w:t>
      </w:r>
      <w:r>
        <w:fldChar w:fldCharType="begin"/>
      </w:r>
      <w:r>
        <w:instrText xml:space="preserve"> REF _Ref33009907 \h </w:instrText>
      </w:r>
      <w:r>
        <w:fldChar w:fldCharType="separate"/>
      </w:r>
      <w:r w:rsidR="00BE5F47" w:rsidRPr="006802CE">
        <w:t>Figure</w:t>
      </w:r>
      <w:r w:rsidR="00BE5F47">
        <w:t xml:space="preserve"> A.</w:t>
      </w:r>
      <w:r w:rsidR="00BE5F47">
        <w:rPr>
          <w:noProof/>
        </w:rPr>
        <w:t>3</w:t>
      </w:r>
      <w:r>
        <w:fldChar w:fldCharType="end"/>
      </w:r>
      <w:r>
        <w:t xml:space="preserve"> illustrates the Wet/Dry/Average annual rainfall thresholds in relation to the total annual rainfall derived from the model rainfall input datasets. </w:t>
      </w:r>
    </w:p>
    <w:p w14:paraId="58EC11A6" w14:textId="08EF9949" w:rsidR="008F42E8" w:rsidRDefault="008F42E8" w:rsidP="008F42E8">
      <w:pPr>
        <w:pStyle w:val="Caption"/>
      </w:pPr>
      <w:r>
        <w:t xml:space="preserve">Table </w:t>
      </w:r>
      <w:r w:rsidR="00F11047">
        <w:t>A.</w:t>
      </w:r>
      <w:r>
        <w:fldChar w:fldCharType="begin"/>
      </w:r>
      <w:r>
        <w:instrText xml:space="preserve"> SEQ Table \* ARABIC </w:instrText>
      </w:r>
      <w:r>
        <w:fldChar w:fldCharType="separate"/>
      </w:r>
      <w:r w:rsidR="00BE5F47">
        <w:rPr>
          <w:noProof/>
        </w:rPr>
        <w:t>2</w:t>
      </w:r>
      <w:r>
        <w:fldChar w:fldCharType="end"/>
      </w:r>
      <w:r>
        <w:t>. Selection of representative ‘Wet’, ‘Dry’, and ‘Average’ years based on total annual measured rainfall at Berwick (86299) rainfall station.</w:t>
      </w:r>
    </w:p>
    <w:tbl>
      <w:tblPr>
        <w:tblStyle w:val="TableGridLight"/>
        <w:tblW w:w="0" w:type="auto"/>
        <w:tblLook w:val="04A0" w:firstRow="1" w:lastRow="0" w:firstColumn="1" w:lastColumn="0" w:noHBand="0" w:noVBand="1"/>
      </w:tblPr>
      <w:tblGrid>
        <w:gridCol w:w="1555"/>
        <w:gridCol w:w="1842"/>
        <w:gridCol w:w="1985"/>
        <w:gridCol w:w="2126"/>
        <w:gridCol w:w="2398"/>
      </w:tblGrid>
      <w:tr w:rsidR="008F42E8" w14:paraId="76EC3850" w14:textId="77777777" w:rsidTr="0038185E">
        <w:tc>
          <w:tcPr>
            <w:tcW w:w="1555" w:type="dxa"/>
            <w:vMerge w:val="restart"/>
            <w:shd w:val="clear" w:color="auto" w:fill="E5E5E5" w:themeFill="background2"/>
          </w:tcPr>
          <w:p w14:paraId="736DE6FE" w14:textId="77777777" w:rsidR="008F42E8" w:rsidRPr="00C24376" w:rsidRDefault="008F42E8" w:rsidP="0038185E">
            <w:pPr>
              <w:pStyle w:val="Tabletext"/>
              <w:jc w:val="center"/>
              <w:rPr>
                <w:b/>
              </w:rPr>
            </w:pPr>
          </w:p>
        </w:tc>
        <w:tc>
          <w:tcPr>
            <w:tcW w:w="1842" w:type="dxa"/>
            <w:vMerge w:val="restart"/>
            <w:shd w:val="clear" w:color="auto" w:fill="E5E5E5" w:themeFill="background2"/>
          </w:tcPr>
          <w:p w14:paraId="5A43885F" w14:textId="77777777" w:rsidR="008F42E8" w:rsidRPr="00C24376" w:rsidRDefault="008F42E8" w:rsidP="0038185E">
            <w:pPr>
              <w:pStyle w:val="Tabletext"/>
              <w:jc w:val="center"/>
              <w:rPr>
                <w:b/>
              </w:rPr>
            </w:pPr>
            <w:r>
              <w:rPr>
                <w:b/>
              </w:rPr>
              <w:t>Measured rainfall threshold (mm/yr)</w:t>
            </w:r>
          </w:p>
        </w:tc>
        <w:tc>
          <w:tcPr>
            <w:tcW w:w="1985" w:type="dxa"/>
            <w:vMerge w:val="restart"/>
            <w:shd w:val="clear" w:color="auto" w:fill="E5E5E5" w:themeFill="background2"/>
          </w:tcPr>
          <w:p w14:paraId="6BD38624" w14:textId="77777777" w:rsidR="008F42E8" w:rsidRPr="00C24376" w:rsidRDefault="008F42E8" w:rsidP="0038185E">
            <w:pPr>
              <w:pStyle w:val="Tabletext"/>
              <w:jc w:val="center"/>
              <w:rPr>
                <w:b/>
              </w:rPr>
            </w:pPr>
            <w:r>
              <w:rPr>
                <w:b/>
              </w:rPr>
              <w:t>Representative Year in model simulation period</w:t>
            </w:r>
          </w:p>
        </w:tc>
        <w:tc>
          <w:tcPr>
            <w:tcW w:w="4524" w:type="dxa"/>
            <w:gridSpan w:val="2"/>
            <w:shd w:val="clear" w:color="auto" w:fill="E5E5E5" w:themeFill="background2"/>
          </w:tcPr>
          <w:p w14:paraId="2CCE06EB" w14:textId="77777777" w:rsidR="008F42E8" w:rsidRPr="00C24376" w:rsidRDefault="008F42E8" w:rsidP="0038185E">
            <w:pPr>
              <w:pStyle w:val="Tabletext"/>
              <w:jc w:val="center"/>
              <w:rPr>
                <w:b/>
              </w:rPr>
            </w:pPr>
            <w:r>
              <w:rPr>
                <w:b/>
              </w:rPr>
              <w:t>Total annual rainfall for representative year (mm/yr)</w:t>
            </w:r>
          </w:p>
        </w:tc>
      </w:tr>
      <w:tr w:rsidR="008F42E8" w14:paraId="6D1BB50B" w14:textId="77777777" w:rsidTr="0038185E">
        <w:tc>
          <w:tcPr>
            <w:tcW w:w="1555" w:type="dxa"/>
            <w:vMerge/>
            <w:shd w:val="clear" w:color="auto" w:fill="E5E5E5" w:themeFill="background2"/>
          </w:tcPr>
          <w:p w14:paraId="5F39582F" w14:textId="77777777" w:rsidR="008F42E8" w:rsidRPr="00C24376" w:rsidRDefault="008F42E8" w:rsidP="0038185E">
            <w:pPr>
              <w:pStyle w:val="Tabletext"/>
              <w:jc w:val="center"/>
              <w:rPr>
                <w:b/>
              </w:rPr>
            </w:pPr>
          </w:p>
        </w:tc>
        <w:tc>
          <w:tcPr>
            <w:tcW w:w="1842" w:type="dxa"/>
            <w:vMerge/>
            <w:shd w:val="clear" w:color="auto" w:fill="E5E5E5" w:themeFill="background2"/>
          </w:tcPr>
          <w:p w14:paraId="35F8FE7B" w14:textId="77777777" w:rsidR="008F42E8" w:rsidRPr="00C24376" w:rsidRDefault="008F42E8" w:rsidP="0038185E">
            <w:pPr>
              <w:pStyle w:val="Tabletext"/>
              <w:jc w:val="center"/>
              <w:rPr>
                <w:b/>
              </w:rPr>
            </w:pPr>
          </w:p>
        </w:tc>
        <w:tc>
          <w:tcPr>
            <w:tcW w:w="1985" w:type="dxa"/>
            <w:vMerge/>
            <w:shd w:val="clear" w:color="auto" w:fill="E5E5E5" w:themeFill="background2"/>
          </w:tcPr>
          <w:p w14:paraId="2C4794BE" w14:textId="77777777" w:rsidR="008F42E8" w:rsidRDefault="008F42E8" w:rsidP="0038185E">
            <w:pPr>
              <w:pStyle w:val="Tabletext"/>
              <w:jc w:val="center"/>
              <w:rPr>
                <w:b/>
              </w:rPr>
            </w:pPr>
          </w:p>
        </w:tc>
        <w:tc>
          <w:tcPr>
            <w:tcW w:w="2126" w:type="dxa"/>
            <w:shd w:val="clear" w:color="auto" w:fill="E5E5E5" w:themeFill="background2"/>
          </w:tcPr>
          <w:p w14:paraId="5122119E" w14:textId="77777777" w:rsidR="008F42E8" w:rsidRDefault="008F42E8" w:rsidP="0038185E">
            <w:pPr>
              <w:pStyle w:val="Tabletext"/>
              <w:jc w:val="center"/>
              <w:rPr>
                <w:b/>
              </w:rPr>
            </w:pPr>
            <w:r>
              <w:rPr>
                <w:b/>
              </w:rPr>
              <w:t>Source AWAP data</w:t>
            </w:r>
          </w:p>
        </w:tc>
        <w:tc>
          <w:tcPr>
            <w:tcW w:w="2398" w:type="dxa"/>
            <w:shd w:val="clear" w:color="auto" w:fill="E5E5E5" w:themeFill="background2"/>
          </w:tcPr>
          <w:p w14:paraId="230AB703" w14:textId="77777777" w:rsidR="008F42E8" w:rsidRPr="00C24376" w:rsidRDefault="008F42E8" w:rsidP="0038185E">
            <w:pPr>
              <w:pStyle w:val="Tabletext"/>
              <w:jc w:val="center"/>
              <w:rPr>
                <w:b/>
              </w:rPr>
            </w:pPr>
            <w:r w:rsidRPr="00C24376">
              <w:rPr>
                <w:b/>
              </w:rPr>
              <w:t>MUSIC rainfall template</w:t>
            </w:r>
          </w:p>
        </w:tc>
      </w:tr>
      <w:tr w:rsidR="008F42E8" w14:paraId="5175764D" w14:textId="77777777" w:rsidTr="0038185E">
        <w:tc>
          <w:tcPr>
            <w:tcW w:w="1555" w:type="dxa"/>
          </w:tcPr>
          <w:p w14:paraId="5AFD67B9" w14:textId="77777777" w:rsidR="008F42E8" w:rsidRDefault="008F42E8" w:rsidP="0038185E">
            <w:pPr>
              <w:pStyle w:val="Tabletext"/>
            </w:pPr>
            <w:r>
              <w:t>AVERAGE</w:t>
            </w:r>
          </w:p>
        </w:tc>
        <w:tc>
          <w:tcPr>
            <w:tcW w:w="1842" w:type="dxa"/>
          </w:tcPr>
          <w:p w14:paraId="46810072" w14:textId="77777777" w:rsidR="008F42E8" w:rsidRDefault="008F42E8" w:rsidP="0038185E">
            <w:pPr>
              <w:pStyle w:val="Tabletext"/>
            </w:pPr>
            <w:r>
              <w:t>892</w:t>
            </w:r>
          </w:p>
        </w:tc>
        <w:tc>
          <w:tcPr>
            <w:tcW w:w="1985" w:type="dxa"/>
          </w:tcPr>
          <w:p w14:paraId="5DFADFE4" w14:textId="77777777" w:rsidR="008F42E8" w:rsidRDefault="008F42E8" w:rsidP="0038185E">
            <w:pPr>
              <w:pStyle w:val="Tabletext"/>
            </w:pPr>
            <w:r>
              <w:t>1985</w:t>
            </w:r>
          </w:p>
        </w:tc>
        <w:tc>
          <w:tcPr>
            <w:tcW w:w="2126" w:type="dxa"/>
          </w:tcPr>
          <w:p w14:paraId="7C6C1CCB" w14:textId="77777777" w:rsidR="008F42E8" w:rsidRDefault="008F42E8" w:rsidP="0038185E">
            <w:pPr>
              <w:pStyle w:val="Tabletext"/>
            </w:pPr>
            <w:r>
              <w:t>843</w:t>
            </w:r>
          </w:p>
        </w:tc>
        <w:tc>
          <w:tcPr>
            <w:tcW w:w="2398" w:type="dxa"/>
          </w:tcPr>
          <w:p w14:paraId="5A999852" w14:textId="77777777" w:rsidR="008F42E8" w:rsidRDefault="008F42E8" w:rsidP="0038185E">
            <w:pPr>
              <w:pStyle w:val="Tabletext"/>
            </w:pPr>
            <w:r>
              <w:t>905</w:t>
            </w:r>
          </w:p>
        </w:tc>
      </w:tr>
      <w:tr w:rsidR="008F42E8" w14:paraId="0A3C021C" w14:textId="77777777" w:rsidTr="0038185E">
        <w:tc>
          <w:tcPr>
            <w:tcW w:w="1555" w:type="dxa"/>
          </w:tcPr>
          <w:p w14:paraId="2248531F" w14:textId="77777777" w:rsidR="008F42E8" w:rsidRDefault="008F42E8" w:rsidP="0038185E">
            <w:pPr>
              <w:pStyle w:val="Tabletext"/>
            </w:pPr>
            <w:r>
              <w:t>WET</w:t>
            </w:r>
          </w:p>
        </w:tc>
        <w:tc>
          <w:tcPr>
            <w:tcW w:w="1842" w:type="dxa"/>
          </w:tcPr>
          <w:p w14:paraId="4BA99C5C" w14:textId="77777777" w:rsidR="008F42E8" w:rsidRDefault="008F42E8" w:rsidP="0038185E">
            <w:pPr>
              <w:pStyle w:val="Tabletext"/>
            </w:pPr>
            <w:r>
              <w:t>1023</w:t>
            </w:r>
          </w:p>
        </w:tc>
        <w:tc>
          <w:tcPr>
            <w:tcW w:w="1985" w:type="dxa"/>
          </w:tcPr>
          <w:p w14:paraId="44E055EE" w14:textId="77777777" w:rsidR="008F42E8" w:rsidRDefault="008F42E8" w:rsidP="0038185E">
            <w:pPr>
              <w:pStyle w:val="Tabletext"/>
            </w:pPr>
            <w:r>
              <w:t>1993</w:t>
            </w:r>
          </w:p>
        </w:tc>
        <w:tc>
          <w:tcPr>
            <w:tcW w:w="2126" w:type="dxa"/>
          </w:tcPr>
          <w:p w14:paraId="6D4D6380" w14:textId="77777777" w:rsidR="008F42E8" w:rsidRDefault="008F42E8" w:rsidP="0038185E">
            <w:pPr>
              <w:pStyle w:val="Tabletext"/>
            </w:pPr>
            <w:r>
              <w:t>1065</w:t>
            </w:r>
          </w:p>
        </w:tc>
        <w:tc>
          <w:tcPr>
            <w:tcW w:w="2398" w:type="dxa"/>
          </w:tcPr>
          <w:p w14:paraId="4CEF0FBF" w14:textId="77777777" w:rsidR="008F42E8" w:rsidRDefault="008F42E8" w:rsidP="0038185E">
            <w:pPr>
              <w:pStyle w:val="Tabletext"/>
            </w:pPr>
            <w:r>
              <w:t>1108</w:t>
            </w:r>
          </w:p>
        </w:tc>
      </w:tr>
      <w:tr w:rsidR="008F42E8" w14:paraId="31696703" w14:textId="77777777" w:rsidTr="0038185E">
        <w:tc>
          <w:tcPr>
            <w:tcW w:w="1555" w:type="dxa"/>
          </w:tcPr>
          <w:p w14:paraId="3B2998FB" w14:textId="77777777" w:rsidR="008F42E8" w:rsidRDefault="008F42E8" w:rsidP="0038185E">
            <w:pPr>
              <w:pStyle w:val="Tabletext"/>
            </w:pPr>
            <w:r>
              <w:t>DRY</w:t>
            </w:r>
          </w:p>
        </w:tc>
        <w:tc>
          <w:tcPr>
            <w:tcW w:w="1842" w:type="dxa"/>
          </w:tcPr>
          <w:p w14:paraId="45DEA07D" w14:textId="77777777" w:rsidR="008F42E8" w:rsidRDefault="008F42E8" w:rsidP="0038185E">
            <w:pPr>
              <w:pStyle w:val="Tabletext"/>
            </w:pPr>
            <w:r>
              <w:t>741</w:t>
            </w:r>
          </w:p>
        </w:tc>
        <w:tc>
          <w:tcPr>
            <w:tcW w:w="1985" w:type="dxa"/>
          </w:tcPr>
          <w:p w14:paraId="08BFA3F2" w14:textId="77777777" w:rsidR="008F42E8" w:rsidRDefault="008F42E8" w:rsidP="0038185E">
            <w:pPr>
              <w:pStyle w:val="Tabletext"/>
            </w:pPr>
            <w:r>
              <w:t>1987</w:t>
            </w:r>
          </w:p>
        </w:tc>
        <w:tc>
          <w:tcPr>
            <w:tcW w:w="2126" w:type="dxa"/>
          </w:tcPr>
          <w:p w14:paraId="3B0127CC" w14:textId="77777777" w:rsidR="008F42E8" w:rsidRDefault="008F42E8" w:rsidP="0038185E">
            <w:pPr>
              <w:pStyle w:val="Tabletext"/>
            </w:pPr>
            <w:r>
              <w:t>799</w:t>
            </w:r>
          </w:p>
        </w:tc>
        <w:tc>
          <w:tcPr>
            <w:tcW w:w="2398" w:type="dxa"/>
          </w:tcPr>
          <w:p w14:paraId="36608F62" w14:textId="77777777" w:rsidR="008F42E8" w:rsidRDefault="008F42E8" w:rsidP="0038185E">
            <w:pPr>
              <w:pStyle w:val="Tabletext"/>
            </w:pPr>
            <w:r>
              <w:t>729</w:t>
            </w:r>
          </w:p>
        </w:tc>
      </w:tr>
    </w:tbl>
    <w:p w14:paraId="33A1B1B6" w14:textId="77777777" w:rsidR="008F42E8" w:rsidRDefault="008F42E8" w:rsidP="008F42E8">
      <w:pPr>
        <w:pStyle w:val="Para0bullet"/>
        <w:numPr>
          <w:ilvl w:val="0"/>
          <w:numId w:val="0"/>
        </w:numPr>
        <w:tabs>
          <w:tab w:val="clear" w:pos="851"/>
        </w:tabs>
        <w:ind w:left="425" w:hanging="425"/>
      </w:pPr>
    </w:p>
    <w:p w14:paraId="5D2B61DE" w14:textId="3E92CD21" w:rsidR="008F42E8" w:rsidRDefault="008F42E8" w:rsidP="008F42E8">
      <w:pPr>
        <w:pStyle w:val="Para0bullet"/>
        <w:keepNext/>
        <w:numPr>
          <w:ilvl w:val="0"/>
          <w:numId w:val="0"/>
        </w:numPr>
        <w:tabs>
          <w:tab w:val="clear" w:pos="851"/>
        </w:tabs>
        <w:ind w:left="425" w:hanging="425"/>
      </w:pPr>
      <w:r>
        <w:rPr>
          <w:noProof/>
        </w:rPr>
        <w:lastRenderedPageBreak/>
        <w:drawing>
          <wp:inline distT="0" distB="0" distL="0" distR="0" wp14:anchorId="5F73C26B" wp14:editId="76F6665F">
            <wp:extent cx="6082665" cy="21794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09091" cy="2188942"/>
                    </a:xfrm>
                    <a:prstGeom prst="rect">
                      <a:avLst/>
                    </a:prstGeom>
                    <a:noFill/>
                  </pic:spPr>
                </pic:pic>
              </a:graphicData>
            </a:graphic>
          </wp:inline>
        </w:drawing>
      </w:r>
    </w:p>
    <w:p w14:paraId="645657D0" w14:textId="3CCD2CD2" w:rsidR="008F42E8" w:rsidRDefault="008F42E8" w:rsidP="008F42E8">
      <w:pPr>
        <w:pStyle w:val="Caption"/>
      </w:pPr>
      <w:bookmarkStart w:id="115" w:name="_Ref33009907"/>
      <w:r w:rsidRPr="006802CE">
        <w:t>Figure</w:t>
      </w:r>
      <w:r>
        <w:t xml:space="preserve"> </w:t>
      </w:r>
      <w:r w:rsidR="00F11047">
        <w:t>A.</w:t>
      </w:r>
      <w:r>
        <w:fldChar w:fldCharType="begin"/>
      </w:r>
      <w:r>
        <w:instrText xml:space="preserve"> SEQ Figure \* ARABIC </w:instrText>
      </w:r>
      <w:r>
        <w:fldChar w:fldCharType="separate"/>
      </w:r>
      <w:r w:rsidR="00BE5F47">
        <w:rPr>
          <w:noProof/>
        </w:rPr>
        <w:t>3</w:t>
      </w:r>
      <w:r>
        <w:fldChar w:fldCharType="end"/>
      </w:r>
      <w:bookmarkEnd w:id="115"/>
      <w:r>
        <w:t>. Total annual rainfall for the Source AWAP rainfall data and MUSIC rainfall template, in relation to the 80</w:t>
      </w:r>
      <w:r w:rsidRPr="00B74258">
        <w:rPr>
          <w:vertAlign w:val="superscript"/>
        </w:rPr>
        <w:t>th</w:t>
      </w:r>
      <w:r>
        <w:t xml:space="preserve"> percentile (Wet), 20</w:t>
      </w:r>
      <w:r w:rsidRPr="00B74258">
        <w:rPr>
          <w:vertAlign w:val="superscript"/>
        </w:rPr>
        <w:t>th</w:t>
      </w:r>
      <w:r>
        <w:t xml:space="preserve"> percentile (Dry) and average thresholds derived from long-term observed rainfall (1979 – 2019) (Berwick – 86299)</w:t>
      </w:r>
    </w:p>
    <w:p w14:paraId="2D7A602F" w14:textId="30F65560" w:rsidR="001B305A" w:rsidRPr="00752B89" w:rsidRDefault="001B305A" w:rsidP="00F11047">
      <w:pPr>
        <w:pStyle w:val="Para0"/>
      </w:pPr>
    </w:p>
    <w:p w14:paraId="773C0236" w14:textId="793A3971" w:rsidR="009C1694" w:rsidRDefault="009C1694" w:rsidP="00462BDA">
      <w:pPr>
        <w:pStyle w:val="Heading9"/>
      </w:pPr>
      <w:bookmarkStart w:id="116" w:name="_Toc69461587"/>
      <w:r>
        <w:lastRenderedPageBreak/>
        <w:t>Reach 1 - Dwarf galaxias anabranch pools</w:t>
      </w:r>
      <w:bookmarkEnd w:id="103"/>
      <w:bookmarkEnd w:id="116"/>
    </w:p>
    <w:p w14:paraId="428A7AEB" w14:textId="77777777" w:rsidR="007151E4" w:rsidRPr="007151E4" w:rsidRDefault="007151E4" w:rsidP="007151E4">
      <w:pPr>
        <w:pStyle w:val="Para0"/>
      </w:pPr>
    </w:p>
    <w:p w14:paraId="4579919D" w14:textId="10596DED" w:rsidR="00462BDA" w:rsidRPr="00073410" w:rsidRDefault="007151E4" w:rsidP="007151E4">
      <w:pPr>
        <w:pStyle w:val="Heading9"/>
        <w:rPr>
          <w:lang w:val="en-AU"/>
        </w:rPr>
      </w:pPr>
      <w:bookmarkStart w:id="117" w:name="_Ref42877150"/>
      <w:bookmarkStart w:id="118" w:name="_Toc69461588"/>
      <w:r>
        <w:rPr>
          <w:lang w:val="en-AU"/>
        </w:rPr>
        <w:lastRenderedPageBreak/>
        <w:t>Cardinia Creek Conservation Zone wetland habitat restoration opportunities</w:t>
      </w:r>
      <w:bookmarkEnd w:id="117"/>
      <w:bookmarkEnd w:id="118"/>
    </w:p>
    <w:p w14:paraId="63D415E4" w14:textId="77777777" w:rsidR="00462BDA" w:rsidRPr="0009050E" w:rsidRDefault="00462BDA" w:rsidP="00462BDA">
      <w:pPr>
        <w:pStyle w:val="Para0"/>
      </w:pPr>
    </w:p>
    <w:p w14:paraId="43FBF7ED" w14:textId="0404F6F3" w:rsidR="00462BDA" w:rsidRPr="00462BDA" w:rsidRDefault="00462BDA" w:rsidP="00462BDA">
      <w:pPr>
        <w:pStyle w:val="Para0"/>
      </w:pPr>
    </w:p>
    <w:sectPr w:rsidR="00462BDA" w:rsidRPr="00462BDA" w:rsidSect="001329A5">
      <w:headerReference w:type="even" r:id="rId67"/>
      <w:headerReference w:type="default" r:id="rId68"/>
      <w:footerReference w:type="even" r:id="rId69"/>
      <w:footerReference w:type="default" r:id="rId70"/>
      <w:headerReference w:type="first" r:id="rId71"/>
      <w:footerReference w:type="first" r:id="rId72"/>
      <w:pgSz w:w="11901" w:h="16840" w:code="9"/>
      <w:pgMar w:top="567" w:right="851" w:bottom="851" w:left="1134" w:header="567" w:footer="369" w:gutter="0"/>
      <w:cols w:space="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46E228" w14:textId="77777777" w:rsidR="00E110AF" w:rsidRDefault="00E110AF" w:rsidP="00EA3E55">
      <w:pPr>
        <w:spacing w:after="0" w:line="240" w:lineRule="auto"/>
      </w:pPr>
      <w:r>
        <w:separator/>
      </w:r>
    </w:p>
  </w:endnote>
  <w:endnote w:type="continuationSeparator" w:id="0">
    <w:p w14:paraId="34DB08F2" w14:textId="77777777" w:rsidR="00E110AF" w:rsidRDefault="00E110AF" w:rsidP="00EA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panose1 w:val="020B0603030503030204"/>
    <w:charset w:val="00"/>
    <w:family w:val="swiss"/>
    <w:pitch w:val="variable"/>
    <w:sig w:usb0="A00000EF" w:usb1="0000E0EB" w:usb2="00000008" w:usb3="00000000" w:csb0="00000001" w:csb1="00000000"/>
    <w:embedRegular r:id="rId1" w:fontKey="{2145B298-D32F-4464-B90C-E1AC17E375B6}"/>
    <w:embedBold r:id="rId2" w:fontKey="{639C2E7B-2785-4BA0-B1DA-90A0522A546B}"/>
    <w:embedItalic r:id="rId3" w:fontKey="{F3006D68-28DE-4B21-B6AD-A12B16FA9F07}"/>
    <w:embedBoldItalic r:id="rId4" w:fontKey="{85484C5D-AD26-4372-8A48-3908F3416EA3}"/>
  </w:font>
  <w:font w:name="Calibri">
    <w:panose1 w:val="020F0502020204030204"/>
    <w:charset w:val="00"/>
    <w:family w:val="swiss"/>
    <w:pitch w:val="variable"/>
    <w:sig w:usb0="E0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Jacobs Chronos Light">
    <w:panose1 w:val="020B0403030503030204"/>
    <w:charset w:val="00"/>
    <w:family w:val="swiss"/>
    <w:pitch w:val="variable"/>
    <w:sig w:usb0="A00000EF" w:usb1="0000E0EB" w:usb2="00000008" w:usb3="00000000" w:csb0="00000001" w:csb1="00000000"/>
    <w:embedRegular r:id="rId5" w:fontKey="{F4037A86-F06D-4E16-9F25-B96120131679}"/>
    <w:embedBold r:id="rId6" w:fontKey="{0B51C7D1-EE61-4743-8CB5-1DA684E6A7BB}"/>
    <w:embedItalic r:id="rId7" w:fontKey="{65E07BCA-27D9-4838-936E-C9725AB9C733}"/>
  </w:font>
  <w:font w:name="SimHei">
    <w:altName w:val="黑体"/>
    <w:panose1 w:val="02010600030101010101"/>
    <w:charset w:val="86"/>
    <w:family w:val="modern"/>
    <w:pitch w:val="fixed"/>
    <w:sig w:usb0="800002BF" w:usb1="38CF7CFA" w:usb2="00000016" w:usb3="00000000" w:csb0="0004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Frutiger 45 Light">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embedRegular r:id="rId8" w:fontKey="{96A65921-88F9-4FED-A02D-D0687D1E08CB}"/>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26FB1" w14:textId="77777777" w:rsidR="00E110AF" w:rsidRPr="00EA5D58" w:rsidRDefault="00E110AF" w:rsidP="00204A7E">
    <w:pPr>
      <w:pStyle w:val="Footer"/>
    </w:pPr>
  </w:p>
  <w:p w14:paraId="4C337CBE" w14:textId="77777777" w:rsidR="00E110AF" w:rsidRPr="00EA5D58" w:rsidRDefault="00E110AF" w:rsidP="00204A7E">
    <w:pPr>
      <w:pStyle w:val="Footer"/>
      <w:rPr>
        <w:b/>
      </w:rPr>
    </w:pPr>
    <w:r w:rsidRPr="00EA5D58">
      <w:rPr>
        <w:b/>
      </w:rPr>
      <w:fldChar w:fldCharType="begin"/>
    </w:r>
    <w:r w:rsidRPr="00EA5D58">
      <w:instrText xml:space="preserve"> PAGE   \* MERGEFORMAT </w:instrText>
    </w:r>
    <w:r w:rsidRPr="00EA5D58">
      <w:rPr>
        <w:b/>
      </w:rPr>
      <w:fldChar w:fldCharType="separate"/>
    </w:r>
    <w:r w:rsidRPr="00EA5D58">
      <w:rPr>
        <w:b/>
      </w:rPr>
      <w:t>ii</w:t>
    </w:r>
    <w:r w:rsidRPr="00EA5D58">
      <w:fldChar w:fldCharType="end"/>
    </w:r>
    <w:r w:rsidRPr="00EA5D58">
      <w:tab/>
    </w:r>
    <w:r w:rsidR="00E344AA">
      <w:fldChar w:fldCharType="begin"/>
    </w:r>
    <w:r w:rsidR="00E344AA">
      <w:instrText xml:space="preserve"> DOCPROPERTY  "Document Number"  \* MERGEFORMAT </w:instrText>
    </w:r>
    <w:r w:rsidR="00E344AA">
      <w:fldChar w:fldCharType="separate"/>
    </w:r>
    <w:r>
      <w:t>R.01</w:t>
    </w:r>
    <w:r w:rsidR="00E344AA">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E8112" w14:textId="77777777" w:rsidR="00E110AF" w:rsidRDefault="00E110A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608B4" w14:textId="77777777" w:rsidR="00E110AF" w:rsidRDefault="00E110AF" w:rsidP="00515948">
    <w:pPr>
      <w:pStyle w:val="Footer"/>
    </w:pPr>
  </w:p>
  <w:p w14:paraId="7438C677" w14:textId="77777777" w:rsidR="00E110AF" w:rsidRPr="001329A5" w:rsidRDefault="00E344AA" w:rsidP="00515948">
    <w:pPr>
      <w:pStyle w:val="Footer"/>
      <w:rPr>
        <w:b/>
      </w:rPr>
    </w:pPr>
    <w:r>
      <w:fldChar w:fldCharType="begin"/>
    </w:r>
    <w:r>
      <w:instrText xml:space="preserve"> DOCPROPERTY  "Document Number"  \* MERGEFORMAT </w:instrText>
    </w:r>
    <w:r>
      <w:fldChar w:fldCharType="separate"/>
    </w:r>
    <w:r w:rsidR="00E110AF">
      <w:t>R.01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D1B01" w14:textId="77777777" w:rsidR="00E110AF" w:rsidRPr="00E76686" w:rsidRDefault="00E344AA">
    <w:pPr>
      <w:pStyle w:val="Footer"/>
      <w:rPr>
        <w:b/>
      </w:rPr>
    </w:pPr>
    <w:r>
      <w:fldChar w:fldCharType="begin"/>
    </w:r>
    <w:r>
      <w:instrText xml:space="preserve"> DOCPROPERTY  "Document Number"  \* MERGEFORMAT </w:instrText>
    </w:r>
    <w:r>
      <w:fldChar w:fldCharType="separate"/>
    </w:r>
    <w:r w:rsidR="00E110AF">
      <w:t>R.01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97B84" w14:textId="77777777" w:rsidR="00E110AF" w:rsidRPr="00446DC1" w:rsidRDefault="00E110AF" w:rsidP="00204A7E">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A90B8" w14:textId="77777777" w:rsidR="00E110AF" w:rsidRDefault="00E110AF" w:rsidP="00204A7E">
    <w:pPr>
      <w:pStyle w:val="Para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DB71C" w14:textId="77777777" w:rsidR="00E110AF" w:rsidRDefault="00E110AF" w:rsidP="00204A7E">
    <w:pPr>
      <w:pStyle w:val="Footer"/>
    </w:pPr>
  </w:p>
  <w:p w14:paraId="462694B9" w14:textId="77777777" w:rsidR="00E110AF" w:rsidRPr="001A5FC3" w:rsidRDefault="00E344AA" w:rsidP="00BA5BE3">
    <w:pPr>
      <w:pStyle w:val="Footer"/>
      <w:rPr>
        <w:b/>
      </w:rPr>
    </w:pPr>
    <w:r>
      <w:fldChar w:fldCharType="begin"/>
    </w:r>
    <w:r>
      <w:instrText xml:space="preserve"> DOCPROPERTY  "Document Number"  \* MERGEFORMAT </w:instrText>
    </w:r>
    <w:r>
      <w:fldChar w:fldCharType="separate"/>
    </w:r>
    <w:r w:rsidR="00E110AF">
      <w:t>R.01</w:t>
    </w:r>
    <w:r>
      <w:fldChar w:fldCharType="end"/>
    </w:r>
    <w:r w:rsidR="00E110AF" w:rsidRPr="00637CBB">
      <w:tab/>
    </w:r>
    <w:r w:rsidR="00E110AF" w:rsidRPr="00993678">
      <w:fldChar w:fldCharType="begin"/>
    </w:r>
    <w:r w:rsidR="00E110AF" w:rsidRPr="00993678">
      <w:instrText xml:space="preserve"> PAGE  \* roman  \* MERGEFORMAT </w:instrText>
    </w:r>
    <w:r w:rsidR="00E110AF" w:rsidRPr="00993678">
      <w:fldChar w:fldCharType="separate"/>
    </w:r>
    <w:r w:rsidR="00E110AF">
      <w:rPr>
        <w:noProof/>
      </w:rPr>
      <w:t>vii</w:t>
    </w:r>
    <w:r w:rsidR="00E110AF" w:rsidRPr="00993678">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E770B" w14:textId="77777777" w:rsidR="00E110AF" w:rsidRPr="001A5FC3" w:rsidRDefault="00E344AA" w:rsidP="00204A7E">
    <w:pPr>
      <w:pStyle w:val="Footer"/>
      <w:rPr>
        <w:b/>
      </w:rPr>
    </w:pPr>
    <w:r>
      <w:fldChar w:fldCharType="begin"/>
    </w:r>
    <w:r>
      <w:instrText xml:space="preserve"> DOCPROPERTY  "Document Number"  \* MERGEFORMAT </w:instrText>
    </w:r>
    <w:r>
      <w:fldChar w:fldCharType="separate"/>
    </w:r>
    <w:r w:rsidR="00E110AF">
      <w:t>R.01</w:t>
    </w:r>
    <w:r>
      <w:fldChar w:fldCharType="end"/>
    </w:r>
    <w:r w:rsidR="00E110AF" w:rsidRPr="001A5FC3">
      <w:tab/>
    </w:r>
    <w:r w:rsidR="00E110AF" w:rsidRPr="001A5FC3">
      <w:rPr>
        <w:b/>
      </w:rPr>
      <w:fldChar w:fldCharType="begin"/>
    </w:r>
    <w:r w:rsidR="00E110AF" w:rsidRPr="001A5FC3">
      <w:instrText xml:space="preserve"> PAGE  \* roman  \* MERGEFORMAT </w:instrText>
    </w:r>
    <w:r w:rsidR="00E110AF" w:rsidRPr="001A5FC3">
      <w:rPr>
        <w:b/>
      </w:rPr>
      <w:fldChar w:fldCharType="separate"/>
    </w:r>
    <w:r w:rsidR="00E110AF">
      <w:rPr>
        <w:noProof/>
      </w:rPr>
      <w:t>i</w:t>
    </w:r>
    <w:r w:rsidR="00E110AF" w:rsidRPr="001A5FC3">
      <w:rP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03F9F" w14:textId="77777777" w:rsidR="00E110AF" w:rsidRDefault="00E110AF" w:rsidP="00BA5BE3">
    <w:pPr>
      <w:pStyle w:val="Footer"/>
    </w:pPr>
  </w:p>
  <w:p w14:paraId="2E059985" w14:textId="77777777" w:rsidR="00E110AF" w:rsidRPr="001A5FC3" w:rsidRDefault="00E344AA" w:rsidP="00324783">
    <w:pPr>
      <w:pStyle w:val="Footer"/>
      <w:rPr>
        <w:b/>
      </w:rPr>
    </w:pPr>
    <w:r>
      <w:fldChar w:fldCharType="begin"/>
    </w:r>
    <w:r>
      <w:instrText xml:space="preserve"> DOCPROPERTY  "Document Number"  \* MERGEFORMAT </w:instrText>
    </w:r>
    <w:r>
      <w:fldChar w:fldCharType="separate"/>
    </w:r>
    <w:r w:rsidR="00E110AF">
      <w:t>R.01</w:t>
    </w:r>
    <w:r>
      <w:fldChar w:fldCharType="end"/>
    </w:r>
    <w:r w:rsidR="00E110AF" w:rsidRPr="00637CBB">
      <w:tab/>
    </w:r>
    <w:r w:rsidR="00E110AF" w:rsidRPr="002D6085">
      <w:fldChar w:fldCharType="begin"/>
    </w:r>
    <w:r w:rsidR="00E110AF" w:rsidRPr="002D6085">
      <w:instrText xml:space="preserve"> PAGE  \* roman  \* MERGEFORMAT </w:instrText>
    </w:r>
    <w:r w:rsidR="00E110AF" w:rsidRPr="002D6085">
      <w:fldChar w:fldCharType="separate"/>
    </w:r>
    <w:r w:rsidR="00E110AF">
      <w:rPr>
        <w:noProof/>
      </w:rPr>
      <w:t>viii</w:t>
    </w:r>
    <w:r w:rsidR="00E110AF" w:rsidRPr="002D608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600C7" w14:textId="77777777" w:rsidR="00E110AF" w:rsidRPr="001A5FC3" w:rsidRDefault="00E344AA" w:rsidP="00204A7E">
    <w:pPr>
      <w:pStyle w:val="Footer"/>
      <w:rPr>
        <w:b/>
      </w:rPr>
    </w:pPr>
    <w:r>
      <w:fldChar w:fldCharType="begin"/>
    </w:r>
    <w:r>
      <w:instrText xml:space="preserve"> DOCPROPERTY  "Document Number"  \* MERGEFORMAT </w:instrText>
    </w:r>
    <w:r>
      <w:fldChar w:fldCharType="separate"/>
    </w:r>
    <w:r w:rsidR="00E110AF">
      <w:t>R.01</w:t>
    </w:r>
    <w:r>
      <w:fldChar w:fldCharType="end"/>
    </w:r>
    <w:r w:rsidR="00E110AF" w:rsidRPr="001A5FC3">
      <w:tab/>
    </w:r>
    <w:r w:rsidR="00E110AF">
      <w:rPr>
        <w:b/>
      </w:rPr>
      <w:fldChar w:fldCharType="begin"/>
    </w:r>
    <w:r w:rsidR="00E110AF">
      <w:instrText xml:space="preserve"> PAGE  \* Arabic  \* MERGEFORMAT </w:instrText>
    </w:r>
    <w:r w:rsidR="00E110AF">
      <w:rPr>
        <w:b/>
      </w:rPr>
      <w:fldChar w:fldCharType="separate"/>
    </w:r>
    <w:r w:rsidR="00E110AF">
      <w:rPr>
        <w:noProof/>
      </w:rPr>
      <w:t>1</w:t>
    </w:r>
    <w:r w:rsidR="00E110AF">
      <w:rPr>
        <w: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25194" w14:textId="77777777" w:rsidR="00E110AF" w:rsidRDefault="00E110AF" w:rsidP="00BA5BE3">
    <w:pPr>
      <w:pStyle w:val="Footer"/>
    </w:pPr>
  </w:p>
  <w:p w14:paraId="58C0611F" w14:textId="77777777" w:rsidR="00E110AF" w:rsidRPr="001A5FC3" w:rsidRDefault="00E344AA" w:rsidP="00324783">
    <w:pPr>
      <w:pStyle w:val="Footer"/>
      <w:rPr>
        <w:b/>
      </w:rPr>
    </w:pPr>
    <w:r>
      <w:fldChar w:fldCharType="begin"/>
    </w:r>
    <w:r>
      <w:instrText xml:space="preserve"> DOCPROPERTY  "Document Number"  \* MERGEFORMAT </w:instrText>
    </w:r>
    <w:r>
      <w:fldChar w:fldCharType="separate"/>
    </w:r>
    <w:r w:rsidR="00E110AF">
      <w:t>R.01</w:t>
    </w:r>
    <w:r>
      <w:fldChar w:fldCharType="end"/>
    </w:r>
    <w:r w:rsidR="00E110AF" w:rsidRPr="00637CBB">
      <w:tab/>
    </w:r>
    <w:r w:rsidR="00E110AF" w:rsidRPr="00637CBB">
      <w:rPr>
        <w:b/>
      </w:rPr>
      <w:fldChar w:fldCharType="begin"/>
    </w:r>
    <w:r w:rsidR="00E110AF" w:rsidRPr="00637CBB">
      <w:instrText xml:space="preserve"> PAGE   \* MERGEFORMAT </w:instrText>
    </w:r>
    <w:r w:rsidR="00E110AF" w:rsidRPr="00637CBB">
      <w:rPr>
        <w:b/>
      </w:rPr>
      <w:fldChar w:fldCharType="separate"/>
    </w:r>
    <w:r w:rsidR="00E110AF">
      <w:rPr>
        <w:noProof/>
      </w:rPr>
      <w:t>7</w:t>
    </w:r>
    <w:r w:rsidR="00E110AF" w:rsidRPr="00637CBB">
      <w:rPr>
        <w:b/>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B6C73" w14:textId="77777777" w:rsidR="00E110AF" w:rsidRDefault="00E110AF" w:rsidP="00BA5BE3">
    <w:pPr>
      <w:pStyle w:val="Footer"/>
    </w:pPr>
  </w:p>
  <w:p w14:paraId="2F7C27BC" w14:textId="77777777" w:rsidR="00E110AF" w:rsidRPr="001A5FC3" w:rsidRDefault="00E344AA" w:rsidP="00324783">
    <w:pPr>
      <w:pStyle w:val="Footer"/>
      <w:rPr>
        <w:b/>
      </w:rPr>
    </w:pPr>
    <w:r>
      <w:fldChar w:fldCharType="begin"/>
    </w:r>
    <w:r>
      <w:instrText xml:space="preserve"> DOCPROPERTY  "Document Number"  \* MERGEFORMAT </w:instrText>
    </w:r>
    <w:r>
      <w:fldChar w:fldCharType="separate"/>
    </w:r>
    <w:r w:rsidR="00E110AF">
      <w:t>R.01</w:t>
    </w:r>
    <w:r>
      <w:fldChar w:fldCharType="end"/>
    </w:r>
    <w:r w:rsidR="00E110AF" w:rsidRPr="00637CBB">
      <w:tab/>
    </w:r>
    <w:r w:rsidR="00E110AF" w:rsidRPr="00637CBB">
      <w:rPr>
        <w:b/>
      </w:rPr>
      <w:fldChar w:fldCharType="begin"/>
    </w:r>
    <w:r w:rsidR="00E110AF" w:rsidRPr="00637CBB">
      <w:instrText xml:space="preserve"> PAGE   \* MERGEFORMAT </w:instrText>
    </w:r>
    <w:r w:rsidR="00E110AF" w:rsidRPr="00637CBB">
      <w:rPr>
        <w:b/>
      </w:rPr>
      <w:fldChar w:fldCharType="separate"/>
    </w:r>
    <w:r w:rsidR="00E110AF">
      <w:rPr>
        <w:noProof/>
      </w:rPr>
      <w:t>7</w:t>
    </w:r>
    <w:r w:rsidR="00E110AF" w:rsidRPr="00637CBB">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0F369A" w14:textId="77777777" w:rsidR="00E110AF" w:rsidRDefault="00E110AF" w:rsidP="00EA3E55">
      <w:pPr>
        <w:spacing w:after="0" w:line="240" w:lineRule="auto"/>
      </w:pPr>
      <w:r>
        <w:separator/>
      </w:r>
    </w:p>
  </w:footnote>
  <w:footnote w:type="continuationSeparator" w:id="0">
    <w:p w14:paraId="3E861795" w14:textId="77777777" w:rsidR="00E110AF" w:rsidRDefault="00E110AF" w:rsidP="00EA3E55">
      <w:pPr>
        <w:spacing w:after="0" w:line="240" w:lineRule="auto"/>
      </w:pPr>
      <w:r>
        <w:continuationSeparator/>
      </w:r>
    </w:p>
  </w:footnote>
  <w:footnote w:id="1">
    <w:p w14:paraId="43FD063F" w14:textId="0B8EB640" w:rsidR="00E110AF" w:rsidRPr="0097039E" w:rsidRDefault="00E110AF">
      <w:pPr>
        <w:pStyle w:val="FootnoteText"/>
        <w:rPr>
          <w:lang w:val="en-AU"/>
        </w:rPr>
      </w:pPr>
      <w:r>
        <w:rPr>
          <w:rStyle w:val="FootnoteReference"/>
        </w:rPr>
        <w:footnoteRef/>
      </w:r>
      <w:r>
        <w:t xml:space="preserve"> </w:t>
      </w:r>
      <w:hyperlink r:id="rId1" w:history="1">
        <w:r w:rsidRPr="0097039E">
          <w:rPr>
            <w:color w:val="0000FF"/>
            <w:sz w:val="20"/>
            <w:u w:val="single"/>
          </w:rPr>
          <w:t>https://capim.unimelb.edu.au/news-media-events/news/taking-a-fish-out-of-water-how-it-can-assist-conservation-efforts</w:t>
        </w:r>
      </w:hyperlink>
      <w:r>
        <w:rPr>
          <w:color w:val="auto"/>
          <w:sz w:val="20"/>
        </w:rPr>
        <w:t>, accessed 9</w:t>
      </w:r>
      <w:r w:rsidRPr="00106424">
        <w:rPr>
          <w:color w:val="auto"/>
          <w:sz w:val="20"/>
          <w:vertAlign w:val="superscript"/>
        </w:rPr>
        <w:t>th</w:t>
      </w:r>
      <w:r>
        <w:rPr>
          <w:color w:val="auto"/>
          <w:sz w:val="20"/>
        </w:rPr>
        <w:t xml:space="preserve"> June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8" w:space="0" w:color="2314DC" w:themeColor="accent1"/>
      </w:tblBorders>
      <w:tblCellMar>
        <w:left w:w="0" w:type="dxa"/>
        <w:bottom w:w="170" w:type="dxa"/>
        <w:right w:w="0" w:type="dxa"/>
      </w:tblCellMar>
      <w:tblLook w:val="04A0" w:firstRow="1" w:lastRow="0" w:firstColumn="1" w:lastColumn="0" w:noHBand="0" w:noVBand="1"/>
    </w:tblPr>
    <w:tblGrid>
      <w:gridCol w:w="2924"/>
      <w:gridCol w:w="7843"/>
    </w:tblGrid>
    <w:tr w:rsidR="00E110AF" w:rsidRPr="00037461" w14:paraId="07FB9C02" w14:textId="77777777" w:rsidTr="00204A7E">
      <w:trPr>
        <w:cantSplit/>
        <w:trHeight w:val="851"/>
      </w:trPr>
      <w:tc>
        <w:tcPr>
          <w:tcW w:w="1358" w:type="pct"/>
          <w:shd w:val="clear" w:color="auto" w:fill="auto"/>
          <w:tcMar>
            <w:right w:w="567" w:type="dxa"/>
          </w:tcMar>
          <w:vAlign w:val="bottom"/>
        </w:tcPr>
        <w:p w14:paraId="75B4922D" w14:textId="77777777" w:rsidR="00E110AF" w:rsidRPr="00037461" w:rsidRDefault="00E110AF" w:rsidP="00204A7E">
          <w:pPr>
            <w:pStyle w:val="Header"/>
          </w:pPr>
        </w:p>
      </w:tc>
      <w:tc>
        <w:tcPr>
          <w:tcW w:w="3642" w:type="pct"/>
          <w:shd w:val="clear" w:color="auto" w:fill="auto"/>
          <w:vAlign w:val="bottom"/>
        </w:tcPr>
        <w:p w14:paraId="2B58C7F4" w14:textId="77777777" w:rsidR="00E110AF" w:rsidRPr="00037461" w:rsidRDefault="00E344AA" w:rsidP="00204A7E">
          <w:pPr>
            <w:pStyle w:val="Header"/>
            <w:jc w:val="right"/>
          </w:pPr>
          <w:r>
            <w:fldChar w:fldCharType="begin"/>
          </w:r>
          <w:r>
            <w:instrText xml:space="preserve"> STYLEREF  "Document Title"  \* MERGEFORMAT </w:instrText>
          </w:r>
          <w:r>
            <w:fldChar w:fldCharType="separate"/>
          </w:r>
          <w:r w:rsidR="00E110AF">
            <w:rPr>
              <w:noProof/>
            </w:rPr>
            <w:t>Risk Assessment report</w:t>
          </w:r>
          <w:r>
            <w:rPr>
              <w:noProof/>
            </w:rPr>
            <w:fldChar w:fldCharType="end"/>
          </w:r>
        </w:p>
      </w:tc>
    </w:tr>
  </w:tbl>
  <w:p w14:paraId="5A9CAD53" w14:textId="77777777" w:rsidR="00E110AF" w:rsidRPr="007D5EB2" w:rsidRDefault="00E110AF" w:rsidP="00204A7E">
    <w:pPr>
      <w:pStyle w:val="Header"/>
    </w:pPr>
    <w:r w:rsidRPr="00BF0918">
      <w:rPr>
        <w:rFonts w:cs="Arial"/>
        <w:b/>
        <w:noProof/>
        <w:color w:val="808080"/>
        <w:szCs w:val="22"/>
        <w:lang w:eastAsia="en-AU"/>
      </w:rPr>
      <w:drawing>
        <wp:anchor distT="0" distB="0" distL="114300" distR="114300" simplePos="0" relativeHeight="251667456" behindDoc="0" locked="1" layoutInCell="0" allowOverlap="0" wp14:anchorId="704F013F" wp14:editId="21EFB358">
          <wp:simplePos x="0" y="0"/>
          <wp:positionH relativeFrom="margin">
            <wp:align>left</wp:align>
          </wp:positionH>
          <wp:positionV relativeFrom="page">
            <wp:posOffset>572770</wp:posOffset>
          </wp:positionV>
          <wp:extent cx="1234440" cy="283845"/>
          <wp:effectExtent l="0" t="0" r="3810" b="1905"/>
          <wp:wrapNone/>
          <wp:docPr id="11"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07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30F0D" w14:textId="77777777" w:rsidR="00E110AF" w:rsidRDefault="00E110A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8" w:space="0" w:color="2314DC" w:themeColor="accent1"/>
      </w:tblBorders>
      <w:tblCellMar>
        <w:left w:w="0" w:type="dxa"/>
        <w:bottom w:w="170" w:type="dxa"/>
        <w:right w:w="0" w:type="dxa"/>
      </w:tblCellMar>
      <w:tblLook w:val="04A0" w:firstRow="1" w:lastRow="0" w:firstColumn="1" w:lastColumn="0" w:noHBand="0" w:noVBand="1"/>
    </w:tblPr>
    <w:tblGrid>
      <w:gridCol w:w="7692"/>
      <w:gridCol w:w="3075"/>
    </w:tblGrid>
    <w:tr w:rsidR="00E110AF" w:rsidRPr="00037461" w14:paraId="5E0DCA55" w14:textId="77777777" w:rsidTr="00204A7E">
      <w:trPr>
        <w:cantSplit/>
        <w:trHeight w:val="851"/>
      </w:trPr>
      <w:tc>
        <w:tcPr>
          <w:tcW w:w="3572" w:type="pct"/>
          <w:shd w:val="clear" w:color="auto" w:fill="auto"/>
          <w:tcMar>
            <w:right w:w="567" w:type="dxa"/>
          </w:tcMar>
          <w:vAlign w:val="bottom"/>
        </w:tcPr>
        <w:p w14:paraId="43333B6C" w14:textId="503AE317" w:rsidR="00E110AF" w:rsidRPr="00037461" w:rsidRDefault="00E110AF" w:rsidP="00F95AF7">
          <w:pPr>
            <w:pStyle w:val="Header"/>
          </w:pPr>
          <w:r w:rsidRPr="00BF0918">
            <w:rPr>
              <w:rFonts w:cs="Arial"/>
              <w:b/>
              <w:szCs w:val="22"/>
            </w:rPr>
            <w:fldChar w:fldCharType="begin"/>
          </w:r>
          <w:r w:rsidRPr="00BF0918">
            <w:rPr>
              <w:rFonts w:cs="Arial"/>
              <w:szCs w:val="22"/>
            </w:rPr>
            <w:instrText xml:space="preserve"> STYLEREF  "Document Title"  \* MERGEFORMAT </w:instrText>
          </w:r>
          <w:r w:rsidRPr="00BF0918">
            <w:rPr>
              <w:rFonts w:cs="Arial"/>
              <w:b/>
              <w:szCs w:val="22"/>
            </w:rPr>
            <w:fldChar w:fldCharType="separate"/>
          </w:r>
          <w:r w:rsidR="00E344AA" w:rsidRPr="00E344AA">
            <w:rPr>
              <w:rFonts w:cs="Arial"/>
              <w:bCs/>
              <w:noProof/>
              <w:szCs w:val="22"/>
            </w:rPr>
            <w:t>Risk Assessment</w:t>
          </w:r>
          <w:r w:rsidR="00E344AA">
            <w:rPr>
              <w:rFonts w:cs="Arial"/>
              <w:noProof/>
              <w:szCs w:val="22"/>
            </w:rPr>
            <w:t xml:space="preserve"> report</w:t>
          </w:r>
          <w:r w:rsidRPr="00BF0918">
            <w:rPr>
              <w:rFonts w:cs="Arial"/>
              <w:b/>
              <w:noProof/>
              <w:szCs w:val="22"/>
            </w:rPr>
            <w:fldChar w:fldCharType="end"/>
          </w:r>
        </w:p>
      </w:tc>
      <w:tc>
        <w:tcPr>
          <w:tcW w:w="1428" w:type="pct"/>
          <w:shd w:val="clear" w:color="auto" w:fill="auto"/>
          <w:vAlign w:val="bottom"/>
        </w:tcPr>
        <w:p w14:paraId="1F7B7394" w14:textId="77777777" w:rsidR="00E110AF" w:rsidRPr="00037461" w:rsidRDefault="00E110AF" w:rsidP="00F95AF7">
          <w:pPr>
            <w:jc w:val="right"/>
          </w:pPr>
        </w:p>
      </w:tc>
    </w:tr>
  </w:tbl>
  <w:p w14:paraId="5218095A" w14:textId="77777777" w:rsidR="00E110AF" w:rsidRPr="005B786B" w:rsidRDefault="00E110AF" w:rsidP="00F95AF7">
    <w:pPr>
      <w:pStyle w:val="Header"/>
    </w:pPr>
    <w:r w:rsidRPr="00BF0918">
      <w:rPr>
        <w:rFonts w:cs="Arial"/>
        <w:b/>
        <w:noProof/>
        <w:color w:val="808080"/>
        <w:szCs w:val="22"/>
        <w:lang w:eastAsia="en-AU"/>
      </w:rPr>
      <w:drawing>
        <wp:anchor distT="0" distB="0" distL="114300" distR="114300" simplePos="0" relativeHeight="251679744" behindDoc="0" locked="1" layoutInCell="0" allowOverlap="0" wp14:anchorId="546EE83D" wp14:editId="3DD04626">
          <wp:simplePos x="0" y="0"/>
          <wp:positionH relativeFrom="page">
            <wp:posOffset>5784850</wp:posOffset>
          </wp:positionH>
          <wp:positionV relativeFrom="page">
            <wp:posOffset>572770</wp:posOffset>
          </wp:positionV>
          <wp:extent cx="1234800" cy="284400"/>
          <wp:effectExtent l="0" t="0" r="3810" b="1905"/>
          <wp:wrapNone/>
          <wp:docPr id="9"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E110AF" w:rsidRPr="00037461" w14:paraId="4518185D" w14:textId="77777777" w:rsidTr="00204A7E">
      <w:trPr>
        <w:cantSplit/>
        <w:trHeight w:hRule="exact" w:val="1134"/>
      </w:trPr>
      <w:tc>
        <w:tcPr>
          <w:tcW w:w="6804" w:type="dxa"/>
          <w:shd w:val="clear" w:color="auto" w:fill="auto"/>
          <w:vAlign w:val="center"/>
        </w:tcPr>
        <w:p w14:paraId="6DE128CC" w14:textId="77777777" w:rsidR="00E110AF" w:rsidRPr="00037461" w:rsidRDefault="00E110AF" w:rsidP="00204A7E">
          <w:pPr>
            <w:pStyle w:val="Header"/>
          </w:pPr>
          <w:r w:rsidRPr="00032A0D">
            <w:rPr>
              <w:noProof/>
              <w:lang w:val="en-AU" w:eastAsia="en-AU"/>
            </w:rPr>
            <w:drawing>
              <wp:anchor distT="0" distB="0" distL="114300" distR="114300" simplePos="0" relativeHeight="251660288" behindDoc="1" locked="0" layoutInCell="0" allowOverlap="1" wp14:anchorId="7A1FFF69" wp14:editId="389656A8">
                <wp:simplePos x="0" y="0"/>
                <wp:positionH relativeFrom="page">
                  <wp:posOffset>720090</wp:posOffset>
                </wp:positionH>
                <wp:positionV relativeFrom="page">
                  <wp:posOffset>360045</wp:posOffset>
                </wp:positionV>
                <wp:extent cx="4320000" cy="720000"/>
                <wp:effectExtent l="0" t="0" r="4445" b="444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rsidR="00E344AA">
            <w:fldChar w:fldCharType="begin"/>
          </w:r>
          <w:r w:rsidR="00E344AA">
            <w:instrText xml:space="preserve"> STYLEREF  "Document Title"  \* MERGEFORMAT </w:instrText>
          </w:r>
          <w:r w:rsidR="00E344AA">
            <w:fldChar w:fldCharType="separate"/>
          </w:r>
          <w:r w:rsidRPr="0064413A">
            <w:rPr>
              <w:b/>
              <w:bCs/>
              <w:noProof/>
            </w:rPr>
            <w:t>Risk Assessment report</w:t>
          </w:r>
          <w:r w:rsidR="00E344AA">
            <w:rPr>
              <w:b/>
              <w:bCs/>
              <w:noProof/>
            </w:rPr>
            <w:fldChar w:fldCharType="end"/>
          </w:r>
        </w:p>
      </w:tc>
      <w:tc>
        <w:tcPr>
          <w:tcW w:w="3119" w:type="dxa"/>
          <w:shd w:val="clear" w:color="auto" w:fill="auto"/>
          <w:vAlign w:val="center"/>
        </w:tcPr>
        <w:p w14:paraId="71E6FA2A" w14:textId="77777777" w:rsidR="00E110AF" w:rsidRPr="00037461" w:rsidRDefault="00E110AF" w:rsidP="004267B2"/>
      </w:tc>
    </w:tr>
  </w:tbl>
  <w:p w14:paraId="486B9268" w14:textId="77777777" w:rsidR="00E110AF" w:rsidRDefault="00E110AF" w:rsidP="00BD0B6A">
    <w:pPr>
      <w:pStyle w:val="Header"/>
    </w:pPr>
    <w:r w:rsidRPr="00BF0918">
      <w:rPr>
        <w:rFonts w:cs="Arial"/>
        <w:b/>
        <w:noProof/>
        <w:color w:val="808080"/>
        <w:szCs w:val="22"/>
        <w:lang w:eastAsia="en-AU"/>
      </w:rPr>
      <w:drawing>
        <wp:anchor distT="0" distB="0" distL="114300" distR="114300" simplePos="0" relativeHeight="251681792" behindDoc="0" locked="1" layoutInCell="0" allowOverlap="0" wp14:anchorId="7A873A14" wp14:editId="30CC034F">
          <wp:simplePos x="0" y="0"/>
          <wp:positionH relativeFrom="page">
            <wp:posOffset>5784850</wp:posOffset>
          </wp:positionH>
          <wp:positionV relativeFrom="page">
            <wp:posOffset>572770</wp:posOffset>
          </wp:positionV>
          <wp:extent cx="1234800" cy="284400"/>
          <wp:effectExtent l="0" t="0" r="3810" b="1905"/>
          <wp:wrapNone/>
          <wp:docPr id="10"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2"/>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65A11" w14:textId="77777777" w:rsidR="00E110AF" w:rsidRDefault="00E110AF" w:rsidP="00204A7E">
    <w:pPr>
      <w:pStyle w:val="Empty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D2525" w14:textId="77777777" w:rsidR="00E110AF" w:rsidRDefault="00E110AF" w:rsidP="00204A7E">
    <w:pPr>
      <w:pStyle w:val="EmptyHeader"/>
    </w:pPr>
    <w:r>
      <w:t xml:space="preserve"> </w:t>
    </w:r>
    <w:r w:rsidRPr="00BF0918">
      <w:rPr>
        <w:rFonts w:cs="Arial"/>
        <w:b/>
        <w:noProof/>
        <w:color w:val="808080"/>
        <w:szCs w:val="22"/>
        <w:lang w:eastAsia="en-AU"/>
      </w:rPr>
      <w:drawing>
        <wp:anchor distT="0" distB="0" distL="114300" distR="114300" simplePos="0" relativeHeight="251663360" behindDoc="0" locked="1" layoutInCell="0" allowOverlap="0" wp14:anchorId="03BFE85A" wp14:editId="74416CB4">
          <wp:simplePos x="0" y="0"/>
          <wp:positionH relativeFrom="page">
            <wp:posOffset>5764530</wp:posOffset>
          </wp:positionH>
          <wp:positionV relativeFrom="page">
            <wp:posOffset>574158</wp:posOffset>
          </wp:positionV>
          <wp:extent cx="1234800" cy="288000"/>
          <wp:effectExtent l="0" t="0" r="3810" b="0"/>
          <wp:wrapNone/>
          <wp:docPr id="61"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8000"/>
                  </a:xfrm>
                  <a:prstGeom prst="rect">
                    <a:avLst/>
                  </a:prstGeom>
                  <a:solidFill>
                    <a:srgbClr val="E6E5E3"/>
                  </a:solidFill>
                </pic:spPr>
              </pic:pic>
            </a:graphicData>
          </a:graphic>
          <wp14:sizeRelH relativeFrom="margin">
            <wp14:pctWidth>0</wp14:pctWidth>
          </wp14:sizeRelH>
          <wp14:sizeRelV relativeFrom="margin">
            <wp14:pctHeight>0</wp14:pctHeight>
          </wp14:sizeRelV>
        </wp:anchor>
      </w:drawing>
    </w:r>
    <w:r w:rsidRPr="00BF0918">
      <w:rPr>
        <w:rFonts w:cs="Arial"/>
        <w:b/>
        <w:noProof/>
        <w:color w:val="808080"/>
        <w:szCs w:val="22"/>
        <w:lang w:eastAsia="en-AU"/>
      </w:rPr>
      <w:drawing>
        <wp:anchor distT="0" distB="0" distL="114300" distR="114300" simplePos="0" relativeHeight="251665408" behindDoc="0" locked="1" layoutInCell="0" allowOverlap="0" wp14:anchorId="0CF43572" wp14:editId="0FB31A3A">
          <wp:simplePos x="0" y="0"/>
          <wp:positionH relativeFrom="page">
            <wp:posOffset>5784850</wp:posOffset>
          </wp:positionH>
          <wp:positionV relativeFrom="page">
            <wp:posOffset>572770</wp:posOffset>
          </wp:positionV>
          <wp:extent cx="1234800" cy="284400"/>
          <wp:effectExtent l="0" t="0" r="3810" b="1905"/>
          <wp:wrapNone/>
          <wp:docPr id="2"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2"/>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8" w:space="0" w:color="2314DC" w:themeColor="accent1"/>
      </w:tblBorders>
      <w:tblCellMar>
        <w:left w:w="0" w:type="dxa"/>
        <w:bottom w:w="170" w:type="dxa"/>
        <w:right w:w="0" w:type="dxa"/>
      </w:tblCellMar>
      <w:tblLook w:val="04A0" w:firstRow="1" w:lastRow="0" w:firstColumn="1" w:lastColumn="0" w:noHBand="0" w:noVBand="1"/>
    </w:tblPr>
    <w:tblGrid>
      <w:gridCol w:w="2924"/>
      <w:gridCol w:w="7843"/>
    </w:tblGrid>
    <w:tr w:rsidR="00E110AF" w:rsidRPr="00037461" w14:paraId="64C8F338" w14:textId="77777777" w:rsidTr="00204A7E">
      <w:trPr>
        <w:cantSplit/>
        <w:trHeight w:val="851"/>
      </w:trPr>
      <w:tc>
        <w:tcPr>
          <w:tcW w:w="1358" w:type="pct"/>
          <w:shd w:val="clear" w:color="auto" w:fill="auto"/>
          <w:tcMar>
            <w:right w:w="567" w:type="dxa"/>
          </w:tcMar>
          <w:vAlign w:val="bottom"/>
        </w:tcPr>
        <w:p w14:paraId="54CC371E" w14:textId="77777777" w:rsidR="00E110AF" w:rsidRPr="00037461" w:rsidRDefault="00E110AF" w:rsidP="00204A7E">
          <w:pPr>
            <w:pStyle w:val="Header"/>
          </w:pPr>
        </w:p>
      </w:tc>
      <w:tc>
        <w:tcPr>
          <w:tcW w:w="3642" w:type="pct"/>
          <w:shd w:val="clear" w:color="auto" w:fill="auto"/>
          <w:vAlign w:val="bottom"/>
        </w:tcPr>
        <w:p w14:paraId="396B4F2B" w14:textId="77777777" w:rsidR="00E110AF" w:rsidRPr="00037461" w:rsidRDefault="00E344AA" w:rsidP="00204A7E">
          <w:pPr>
            <w:pStyle w:val="Header"/>
            <w:jc w:val="right"/>
          </w:pPr>
          <w:r>
            <w:fldChar w:fldCharType="begin"/>
          </w:r>
          <w:r>
            <w:instrText xml:space="preserve"> STYLEREF  "Document Title"  \* MERGEFORMAT </w:instrText>
          </w:r>
          <w:r>
            <w:fldChar w:fldCharType="separate"/>
          </w:r>
          <w:r w:rsidR="00E110AF">
            <w:rPr>
              <w:noProof/>
            </w:rPr>
            <w:t>Risk Assessment report</w:t>
          </w:r>
          <w:r>
            <w:rPr>
              <w:noProof/>
            </w:rPr>
            <w:fldChar w:fldCharType="end"/>
          </w:r>
        </w:p>
      </w:tc>
    </w:tr>
  </w:tbl>
  <w:p w14:paraId="0C2799F1" w14:textId="77777777" w:rsidR="00E110AF" w:rsidRPr="007D5EB2" w:rsidRDefault="00E110AF" w:rsidP="00204A7E">
    <w:pPr>
      <w:pStyle w:val="Header"/>
    </w:pPr>
    <w:r w:rsidRPr="00BF0918">
      <w:rPr>
        <w:rFonts w:cs="Arial"/>
        <w:b/>
        <w:noProof/>
        <w:color w:val="808080"/>
        <w:szCs w:val="22"/>
        <w:lang w:eastAsia="en-AU"/>
      </w:rPr>
      <w:drawing>
        <wp:anchor distT="0" distB="0" distL="114300" distR="114300" simplePos="0" relativeHeight="251673600" behindDoc="0" locked="1" layoutInCell="0" allowOverlap="0" wp14:anchorId="6501E54E" wp14:editId="14C6D10F">
          <wp:simplePos x="0" y="0"/>
          <wp:positionH relativeFrom="margin">
            <wp:align>left</wp:align>
          </wp:positionH>
          <wp:positionV relativeFrom="page">
            <wp:posOffset>572770</wp:posOffset>
          </wp:positionV>
          <wp:extent cx="1234440" cy="283845"/>
          <wp:effectExtent l="0" t="0" r="3810" b="1905"/>
          <wp:wrapNone/>
          <wp:docPr id="6"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07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8" w:space="0" w:color="2314DC" w:themeColor="accent1"/>
      </w:tblBorders>
      <w:tblCellMar>
        <w:left w:w="0" w:type="dxa"/>
        <w:bottom w:w="170" w:type="dxa"/>
        <w:right w:w="0" w:type="dxa"/>
      </w:tblCellMar>
      <w:tblLook w:val="04A0" w:firstRow="1" w:lastRow="0" w:firstColumn="1" w:lastColumn="0" w:noHBand="0" w:noVBand="1"/>
    </w:tblPr>
    <w:tblGrid>
      <w:gridCol w:w="7084"/>
      <w:gridCol w:w="2832"/>
    </w:tblGrid>
    <w:tr w:rsidR="00E110AF" w:rsidRPr="00037461" w14:paraId="4496FC48" w14:textId="77777777" w:rsidTr="00204A7E">
      <w:trPr>
        <w:cantSplit/>
        <w:trHeight w:val="851"/>
      </w:trPr>
      <w:tc>
        <w:tcPr>
          <w:tcW w:w="3572" w:type="pct"/>
          <w:shd w:val="clear" w:color="auto" w:fill="auto"/>
          <w:tcMar>
            <w:right w:w="567" w:type="dxa"/>
          </w:tcMar>
          <w:vAlign w:val="bottom"/>
        </w:tcPr>
        <w:p w14:paraId="2971657E" w14:textId="4F9049C5" w:rsidR="00E110AF" w:rsidRPr="00037461" w:rsidRDefault="00E110AF" w:rsidP="00204A7E">
          <w:pPr>
            <w:pStyle w:val="Header"/>
          </w:pPr>
          <w:r w:rsidRPr="00BF0918">
            <w:rPr>
              <w:rFonts w:cs="Arial"/>
              <w:b/>
              <w:szCs w:val="22"/>
            </w:rPr>
            <w:fldChar w:fldCharType="begin"/>
          </w:r>
          <w:r w:rsidRPr="00BF0918">
            <w:rPr>
              <w:rFonts w:cs="Arial"/>
              <w:szCs w:val="22"/>
            </w:rPr>
            <w:instrText xml:space="preserve"> STYLEREF  "Document Title"  \* MERGEFORMAT </w:instrText>
          </w:r>
          <w:r w:rsidRPr="00BF0918">
            <w:rPr>
              <w:rFonts w:cs="Arial"/>
              <w:b/>
              <w:szCs w:val="22"/>
            </w:rPr>
            <w:fldChar w:fldCharType="separate"/>
          </w:r>
          <w:r w:rsidR="00E344AA">
            <w:rPr>
              <w:rFonts w:cs="Arial"/>
              <w:noProof/>
              <w:szCs w:val="22"/>
            </w:rPr>
            <w:t>Risk Assessment report</w:t>
          </w:r>
          <w:r w:rsidRPr="00BF0918">
            <w:rPr>
              <w:rFonts w:cs="Arial"/>
              <w:b/>
              <w:noProof/>
              <w:szCs w:val="22"/>
            </w:rPr>
            <w:fldChar w:fldCharType="end"/>
          </w:r>
        </w:p>
      </w:tc>
      <w:tc>
        <w:tcPr>
          <w:tcW w:w="1428" w:type="pct"/>
          <w:shd w:val="clear" w:color="auto" w:fill="auto"/>
          <w:vAlign w:val="bottom"/>
        </w:tcPr>
        <w:p w14:paraId="7E4F55AE" w14:textId="77777777" w:rsidR="00E110AF" w:rsidRPr="00037461" w:rsidRDefault="00E110AF" w:rsidP="00204A7E">
          <w:pPr>
            <w:jc w:val="right"/>
          </w:pPr>
        </w:p>
      </w:tc>
    </w:tr>
  </w:tbl>
  <w:p w14:paraId="6F592A99" w14:textId="77777777" w:rsidR="00E110AF" w:rsidRPr="00B80A97" w:rsidRDefault="00E110AF" w:rsidP="00204A7E">
    <w:pPr>
      <w:pStyle w:val="Header"/>
    </w:pPr>
    <w:r w:rsidRPr="00BF0918">
      <w:rPr>
        <w:rFonts w:cs="Arial"/>
        <w:b/>
        <w:noProof/>
        <w:color w:val="808080"/>
        <w:szCs w:val="22"/>
        <w:lang w:eastAsia="en-AU"/>
      </w:rPr>
      <w:drawing>
        <wp:anchor distT="0" distB="0" distL="114300" distR="114300" simplePos="0" relativeHeight="251669504" behindDoc="0" locked="1" layoutInCell="0" allowOverlap="0" wp14:anchorId="2A4ED942" wp14:editId="2DF18448">
          <wp:simplePos x="0" y="0"/>
          <wp:positionH relativeFrom="page">
            <wp:posOffset>5784850</wp:posOffset>
          </wp:positionH>
          <wp:positionV relativeFrom="page">
            <wp:posOffset>572770</wp:posOffset>
          </wp:positionV>
          <wp:extent cx="1234800" cy="284400"/>
          <wp:effectExtent l="0" t="0" r="3810" b="1905"/>
          <wp:wrapNone/>
          <wp:docPr id="3"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47738" w14:textId="77777777" w:rsidR="00E110AF" w:rsidRDefault="00E110AF" w:rsidP="00204A7E">
    <w:pPr>
      <w:pStyle w:val="EmptyHeader"/>
    </w:pPr>
    <w:r>
      <w:t xml:space="preserve"> </w:t>
    </w:r>
  </w:p>
  <w:tbl>
    <w:tblPr>
      <w:tblW w:w="9923" w:type="dxa"/>
      <w:tblLayout w:type="fixed"/>
      <w:tblCellMar>
        <w:left w:w="0" w:type="dxa"/>
        <w:right w:w="0" w:type="dxa"/>
      </w:tblCellMar>
      <w:tblLook w:val="04A0" w:firstRow="1" w:lastRow="0" w:firstColumn="1" w:lastColumn="0" w:noHBand="0" w:noVBand="1"/>
    </w:tblPr>
    <w:tblGrid>
      <w:gridCol w:w="6804"/>
      <w:gridCol w:w="3119"/>
    </w:tblGrid>
    <w:tr w:rsidR="00E110AF" w:rsidRPr="00037461" w14:paraId="6253DA88" w14:textId="77777777" w:rsidTr="00204A7E">
      <w:trPr>
        <w:cantSplit/>
        <w:trHeight w:hRule="exact" w:val="1134"/>
      </w:trPr>
      <w:tc>
        <w:tcPr>
          <w:tcW w:w="6804" w:type="dxa"/>
          <w:shd w:val="clear" w:color="auto" w:fill="auto"/>
          <w:vAlign w:val="center"/>
        </w:tcPr>
        <w:p w14:paraId="156E8BC5" w14:textId="77777777" w:rsidR="00E110AF" w:rsidRPr="00037461" w:rsidRDefault="00E110AF" w:rsidP="00204A7E">
          <w:pPr>
            <w:pStyle w:val="Header"/>
          </w:pPr>
          <w:r w:rsidRPr="00032A0D">
            <w:rPr>
              <w:noProof/>
              <w:lang w:val="en-AU" w:eastAsia="en-AU"/>
            </w:rPr>
            <w:drawing>
              <wp:anchor distT="0" distB="0" distL="114300" distR="114300" simplePos="0" relativeHeight="251662336" behindDoc="1" locked="0" layoutInCell="0" allowOverlap="1" wp14:anchorId="256C86B0" wp14:editId="4F77E12F">
                <wp:simplePos x="0" y="0"/>
                <wp:positionH relativeFrom="page">
                  <wp:posOffset>720090</wp:posOffset>
                </wp:positionH>
                <wp:positionV relativeFrom="page">
                  <wp:posOffset>360045</wp:posOffset>
                </wp:positionV>
                <wp:extent cx="4320000" cy="720000"/>
                <wp:effectExtent l="0" t="0" r="4445" b="4445"/>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STYLEREF  "Document Title"  \* MERGEFORMAT </w:instrText>
          </w:r>
          <w:r>
            <w:rPr>
              <w:noProof/>
            </w:rPr>
            <w:fldChar w:fldCharType="separate"/>
          </w:r>
          <w:r>
            <w:rPr>
              <w:noProof/>
            </w:rPr>
            <w:t>Risk Assessment report</w:t>
          </w:r>
          <w:r>
            <w:rPr>
              <w:noProof/>
            </w:rPr>
            <w:fldChar w:fldCharType="end"/>
          </w:r>
        </w:p>
      </w:tc>
      <w:tc>
        <w:tcPr>
          <w:tcW w:w="3119" w:type="dxa"/>
          <w:shd w:val="clear" w:color="auto" w:fill="auto"/>
          <w:vAlign w:val="center"/>
        </w:tcPr>
        <w:p w14:paraId="4CF4B1BF" w14:textId="77777777" w:rsidR="00E110AF" w:rsidRPr="00037461" w:rsidRDefault="00E110AF" w:rsidP="00204A7E"/>
      </w:tc>
    </w:tr>
  </w:tbl>
  <w:p w14:paraId="45F36DB2" w14:textId="77777777" w:rsidR="00E110AF" w:rsidRDefault="00E110AF" w:rsidP="00204A7E">
    <w:pPr>
      <w:pStyle w:val="EmptyHeader"/>
    </w:pPr>
  </w:p>
  <w:p w14:paraId="26C41AC9" w14:textId="77777777" w:rsidR="00E110AF" w:rsidRDefault="00E110AF" w:rsidP="00204A7E">
    <w:pPr>
      <w:pStyle w:val="Header"/>
    </w:pPr>
    <w:r w:rsidRPr="00BF0918">
      <w:rPr>
        <w:rFonts w:cs="Arial"/>
        <w:b/>
        <w:noProof/>
        <w:color w:val="808080"/>
        <w:szCs w:val="22"/>
        <w:lang w:eastAsia="en-AU"/>
      </w:rPr>
      <w:drawing>
        <wp:anchor distT="0" distB="0" distL="114300" distR="114300" simplePos="0" relativeHeight="251671552" behindDoc="0" locked="1" layoutInCell="0" allowOverlap="0" wp14:anchorId="45069A58" wp14:editId="295C0CBE">
          <wp:simplePos x="0" y="0"/>
          <wp:positionH relativeFrom="page">
            <wp:posOffset>5784850</wp:posOffset>
          </wp:positionH>
          <wp:positionV relativeFrom="page">
            <wp:posOffset>572770</wp:posOffset>
          </wp:positionV>
          <wp:extent cx="1234800" cy="284400"/>
          <wp:effectExtent l="0" t="0" r="3810" b="1905"/>
          <wp:wrapNone/>
          <wp:docPr id="4"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2"/>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8" w:space="0" w:color="2314DC" w:themeColor="accent1"/>
      </w:tblBorders>
      <w:tblCellMar>
        <w:left w:w="0" w:type="dxa"/>
        <w:bottom w:w="170" w:type="dxa"/>
        <w:right w:w="0" w:type="dxa"/>
      </w:tblCellMar>
      <w:tblLook w:val="04A0" w:firstRow="1" w:lastRow="0" w:firstColumn="1" w:lastColumn="0" w:noHBand="0" w:noVBand="1"/>
    </w:tblPr>
    <w:tblGrid>
      <w:gridCol w:w="7084"/>
      <w:gridCol w:w="2832"/>
    </w:tblGrid>
    <w:tr w:rsidR="00E110AF" w:rsidRPr="00037461" w14:paraId="1CC30C01" w14:textId="77777777" w:rsidTr="00204A7E">
      <w:trPr>
        <w:cantSplit/>
        <w:trHeight w:val="851"/>
      </w:trPr>
      <w:tc>
        <w:tcPr>
          <w:tcW w:w="3572" w:type="pct"/>
          <w:shd w:val="clear" w:color="auto" w:fill="auto"/>
          <w:tcMar>
            <w:right w:w="567" w:type="dxa"/>
          </w:tcMar>
          <w:vAlign w:val="bottom"/>
        </w:tcPr>
        <w:p w14:paraId="5629EDD7" w14:textId="5351DBE3" w:rsidR="00E110AF" w:rsidRPr="00037461" w:rsidRDefault="00E110AF" w:rsidP="00204A7E">
          <w:pPr>
            <w:pStyle w:val="Header"/>
          </w:pPr>
          <w:r w:rsidRPr="00BF0918">
            <w:rPr>
              <w:rFonts w:cs="Arial"/>
              <w:b/>
              <w:szCs w:val="22"/>
            </w:rPr>
            <w:fldChar w:fldCharType="begin"/>
          </w:r>
          <w:r w:rsidRPr="00BF0918">
            <w:rPr>
              <w:rFonts w:cs="Arial"/>
              <w:szCs w:val="22"/>
            </w:rPr>
            <w:instrText xml:space="preserve"> STYLEREF  "Document Title"  \* MERGEFORMAT </w:instrText>
          </w:r>
          <w:r w:rsidRPr="00BF0918">
            <w:rPr>
              <w:rFonts w:cs="Arial"/>
              <w:b/>
              <w:szCs w:val="22"/>
            </w:rPr>
            <w:fldChar w:fldCharType="separate"/>
          </w:r>
          <w:r w:rsidR="00E344AA">
            <w:rPr>
              <w:rFonts w:cs="Arial"/>
              <w:noProof/>
              <w:szCs w:val="22"/>
            </w:rPr>
            <w:t>Risk Assessment report</w:t>
          </w:r>
          <w:r w:rsidRPr="00BF0918">
            <w:rPr>
              <w:rFonts w:cs="Arial"/>
              <w:b/>
              <w:noProof/>
              <w:szCs w:val="22"/>
            </w:rPr>
            <w:fldChar w:fldCharType="end"/>
          </w:r>
        </w:p>
      </w:tc>
      <w:tc>
        <w:tcPr>
          <w:tcW w:w="1428" w:type="pct"/>
          <w:shd w:val="clear" w:color="auto" w:fill="auto"/>
          <w:vAlign w:val="bottom"/>
        </w:tcPr>
        <w:p w14:paraId="21964433" w14:textId="77777777" w:rsidR="00E110AF" w:rsidRPr="00037461" w:rsidRDefault="00E110AF" w:rsidP="00204A7E">
          <w:pPr>
            <w:jc w:val="right"/>
          </w:pPr>
        </w:p>
      </w:tc>
    </w:tr>
  </w:tbl>
  <w:p w14:paraId="01B0540A" w14:textId="77777777" w:rsidR="00E110AF" w:rsidRPr="00B80A97" w:rsidRDefault="00E110AF" w:rsidP="00204A7E">
    <w:pPr>
      <w:pStyle w:val="Header"/>
    </w:pPr>
    <w:r w:rsidRPr="00BF0918">
      <w:rPr>
        <w:rFonts w:cs="Arial"/>
        <w:b/>
        <w:noProof/>
        <w:color w:val="808080"/>
        <w:szCs w:val="22"/>
        <w:lang w:eastAsia="en-AU"/>
      </w:rPr>
      <w:drawing>
        <wp:anchor distT="0" distB="0" distL="114300" distR="114300" simplePos="0" relativeHeight="251675648" behindDoc="0" locked="1" layoutInCell="0" allowOverlap="0" wp14:anchorId="4B61A8A5" wp14:editId="7C8F90B0">
          <wp:simplePos x="0" y="0"/>
          <wp:positionH relativeFrom="page">
            <wp:posOffset>5784850</wp:posOffset>
          </wp:positionH>
          <wp:positionV relativeFrom="page">
            <wp:posOffset>572770</wp:posOffset>
          </wp:positionV>
          <wp:extent cx="1234800" cy="284400"/>
          <wp:effectExtent l="0" t="0" r="3810" b="1905"/>
          <wp:wrapNone/>
          <wp:docPr id="7"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8" w:space="0" w:color="2314DC" w:themeColor="accent1"/>
      </w:tblBorders>
      <w:tblCellMar>
        <w:left w:w="0" w:type="dxa"/>
        <w:bottom w:w="170" w:type="dxa"/>
        <w:right w:w="0" w:type="dxa"/>
      </w:tblCellMar>
      <w:tblLook w:val="04A0" w:firstRow="1" w:lastRow="0" w:firstColumn="1" w:lastColumn="0" w:noHBand="0" w:noVBand="1"/>
    </w:tblPr>
    <w:tblGrid>
      <w:gridCol w:w="11017"/>
      <w:gridCol w:w="4405"/>
    </w:tblGrid>
    <w:tr w:rsidR="00E110AF" w:rsidRPr="00037461" w14:paraId="2EB6C185" w14:textId="77777777" w:rsidTr="00204A7E">
      <w:trPr>
        <w:cantSplit/>
        <w:trHeight w:val="851"/>
      </w:trPr>
      <w:tc>
        <w:tcPr>
          <w:tcW w:w="3572" w:type="pct"/>
          <w:shd w:val="clear" w:color="auto" w:fill="auto"/>
          <w:tcMar>
            <w:right w:w="567" w:type="dxa"/>
          </w:tcMar>
          <w:vAlign w:val="bottom"/>
        </w:tcPr>
        <w:p w14:paraId="6B5109E0" w14:textId="69E501B0" w:rsidR="00E110AF" w:rsidRPr="00037461" w:rsidRDefault="00E110AF" w:rsidP="00204A7E">
          <w:pPr>
            <w:pStyle w:val="Header"/>
          </w:pPr>
          <w:r w:rsidRPr="00BF0918">
            <w:rPr>
              <w:rFonts w:cs="Arial"/>
              <w:b/>
              <w:szCs w:val="22"/>
            </w:rPr>
            <w:fldChar w:fldCharType="begin"/>
          </w:r>
          <w:r w:rsidRPr="00BF0918">
            <w:rPr>
              <w:rFonts w:cs="Arial"/>
              <w:szCs w:val="22"/>
            </w:rPr>
            <w:instrText xml:space="preserve"> STYLEREF  "Document Title"  \* MERGEFORMAT </w:instrText>
          </w:r>
          <w:r w:rsidRPr="00BF0918">
            <w:rPr>
              <w:rFonts w:cs="Arial"/>
              <w:b/>
              <w:szCs w:val="22"/>
            </w:rPr>
            <w:fldChar w:fldCharType="separate"/>
          </w:r>
          <w:r w:rsidR="00E344AA">
            <w:rPr>
              <w:rFonts w:cs="Arial"/>
              <w:noProof/>
              <w:szCs w:val="22"/>
            </w:rPr>
            <w:t>Risk Assessment report</w:t>
          </w:r>
          <w:r w:rsidRPr="00BF0918">
            <w:rPr>
              <w:rFonts w:cs="Arial"/>
              <w:b/>
              <w:noProof/>
              <w:szCs w:val="22"/>
            </w:rPr>
            <w:fldChar w:fldCharType="end"/>
          </w:r>
        </w:p>
      </w:tc>
      <w:tc>
        <w:tcPr>
          <w:tcW w:w="1428" w:type="pct"/>
          <w:shd w:val="clear" w:color="auto" w:fill="auto"/>
          <w:vAlign w:val="bottom"/>
        </w:tcPr>
        <w:p w14:paraId="1EF4C1AD" w14:textId="77777777" w:rsidR="00E110AF" w:rsidRPr="00037461" w:rsidRDefault="00E110AF" w:rsidP="00204A7E">
          <w:pPr>
            <w:jc w:val="right"/>
          </w:pPr>
        </w:p>
      </w:tc>
    </w:tr>
  </w:tbl>
  <w:p w14:paraId="342AE395" w14:textId="77777777" w:rsidR="00E110AF" w:rsidRPr="00B80A97" w:rsidRDefault="00E110AF" w:rsidP="00204A7E">
    <w:pPr>
      <w:pStyle w:val="Header"/>
    </w:pPr>
    <w:r w:rsidRPr="00BF0918">
      <w:rPr>
        <w:rFonts w:cs="Arial"/>
        <w:b/>
        <w:noProof/>
        <w:color w:val="808080"/>
        <w:szCs w:val="22"/>
        <w:lang w:eastAsia="en-AU"/>
      </w:rPr>
      <w:drawing>
        <wp:anchor distT="0" distB="0" distL="114300" distR="114300" simplePos="0" relativeHeight="251683840" behindDoc="0" locked="1" layoutInCell="0" allowOverlap="0" wp14:anchorId="2227FE01" wp14:editId="734825E8">
          <wp:simplePos x="0" y="0"/>
          <wp:positionH relativeFrom="page">
            <wp:posOffset>5784850</wp:posOffset>
          </wp:positionH>
          <wp:positionV relativeFrom="page">
            <wp:posOffset>572770</wp:posOffset>
          </wp:positionV>
          <wp:extent cx="1234800" cy="284400"/>
          <wp:effectExtent l="0" t="0" r="3810" b="1905"/>
          <wp:wrapNone/>
          <wp:docPr id="32"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8" w:space="0" w:color="2314DC" w:themeColor="accent1"/>
      </w:tblBorders>
      <w:tblCellMar>
        <w:left w:w="0" w:type="dxa"/>
        <w:bottom w:w="170" w:type="dxa"/>
        <w:right w:w="0" w:type="dxa"/>
      </w:tblCellMar>
      <w:tblLook w:val="04A0" w:firstRow="1" w:lastRow="0" w:firstColumn="1" w:lastColumn="0" w:noHBand="0" w:noVBand="1"/>
    </w:tblPr>
    <w:tblGrid>
      <w:gridCol w:w="7692"/>
      <w:gridCol w:w="3075"/>
    </w:tblGrid>
    <w:tr w:rsidR="00E110AF" w:rsidRPr="00037461" w14:paraId="3E8299AA" w14:textId="77777777" w:rsidTr="00204A7E">
      <w:trPr>
        <w:cantSplit/>
        <w:trHeight w:val="851"/>
      </w:trPr>
      <w:tc>
        <w:tcPr>
          <w:tcW w:w="3572" w:type="pct"/>
          <w:shd w:val="clear" w:color="auto" w:fill="auto"/>
          <w:tcMar>
            <w:right w:w="567" w:type="dxa"/>
          </w:tcMar>
          <w:vAlign w:val="bottom"/>
        </w:tcPr>
        <w:p w14:paraId="55116F55" w14:textId="04FA332C" w:rsidR="00E110AF" w:rsidRPr="00037461" w:rsidRDefault="00E110AF" w:rsidP="00204A7E">
          <w:pPr>
            <w:pStyle w:val="Header"/>
          </w:pPr>
          <w:r w:rsidRPr="00BF0918">
            <w:rPr>
              <w:rFonts w:cs="Arial"/>
              <w:b/>
              <w:szCs w:val="22"/>
            </w:rPr>
            <w:fldChar w:fldCharType="begin"/>
          </w:r>
          <w:r w:rsidRPr="00BF0918">
            <w:rPr>
              <w:rFonts w:cs="Arial"/>
              <w:szCs w:val="22"/>
            </w:rPr>
            <w:instrText xml:space="preserve"> STYLEREF  "Document Title"  \* MERGEFORMAT </w:instrText>
          </w:r>
          <w:r w:rsidRPr="00BF0918">
            <w:rPr>
              <w:rFonts w:cs="Arial"/>
              <w:b/>
              <w:szCs w:val="22"/>
            </w:rPr>
            <w:fldChar w:fldCharType="separate"/>
          </w:r>
          <w:r w:rsidR="00E344AA">
            <w:rPr>
              <w:rFonts w:cs="Arial"/>
              <w:noProof/>
              <w:szCs w:val="22"/>
            </w:rPr>
            <w:t>Risk Assessment report</w:t>
          </w:r>
          <w:r w:rsidRPr="00BF0918">
            <w:rPr>
              <w:rFonts w:cs="Arial"/>
              <w:b/>
              <w:noProof/>
              <w:szCs w:val="22"/>
            </w:rPr>
            <w:fldChar w:fldCharType="end"/>
          </w:r>
        </w:p>
      </w:tc>
      <w:tc>
        <w:tcPr>
          <w:tcW w:w="1428" w:type="pct"/>
          <w:shd w:val="clear" w:color="auto" w:fill="auto"/>
          <w:vAlign w:val="bottom"/>
        </w:tcPr>
        <w:p w14:paraId="18E90572" w14:textId="77777777" w:rsidR="00E110AF" w:rsidRPr="00037461" w:rsidRDefault="00E110AF" w:rsidP="00204A7E">
          <w:pPr>
            <w:jc w:val="right"/>
          </w:pPr>
        </w:p>
      </w:tc>
    </w:tr>
  </w:tbl>
  <w:p w14:paraId="334DF1E4" w14:textId="77777777" w:rsidR="00E110AF" w:rsidRPr="00B80A97" w:rsidRDefault="00E110AF" w:rsidP="00204A7E">
    <w:pPr>
      <w:pStyle w:val="Header"/>
    </w:pPr>
    <w:r w:rsidRPr="00BF0918">
      <w:rPr>
        <w:rFonts w:cs="Arial"/>
        <w:b/>
        <w:noProof/>
        <w:color w:val="808080"/>
        <w:szCs w:val="22"/>
        <w:lang w:eastAsia="en-AU"/>
      </w:rPr>
      <w:drawing>
        <wp:anchor distT="0" distB="0" distL="114300" distR="114300" simplePos="0" relativeHeight="251677696" behindDoc="0" locked="1" layoutInCell="0" allowOverlap="0" wp14:anchorId="24989B54" wp14:editId="0D8BAD3A">
          <wp:simplePos x="0" y="0"/>
          <wp:positionH relativeFrom="page">
            <wp:posOffset>5784850</wp:posOffset>
          </wp:positionH>
          <wp:positionV relativeFrom="page">
            <wp:posOffset>572770</wp:posOffset>
          </wp:positionV>
          <wp:extent cx="1234800" cy="284400"/>
          <wp:effectExtent l="0" t="0" r="3810" b="1905"/>
          <wp:wrapNone/>
          <wp:docPr id="8"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45AB0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6CE11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2C40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7708CC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BB29D5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A0E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F8647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B67F6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785CE0"/>
    <w:lvl w:ilvl="0">
      <w:start w:val="1"/>
      <w:numFmt w:val="decimal"/>
      <w:pStyle w:val="ListNumber"/>
      <w:lvlText w:val="%1."/>
      <w:lvlJc w:val="left"/>
      <w:pPr>
        <w:tabs>
          <w:tab w:val="num" w:pos="360"/>
        </w:tabs>
        <w:ind w:left="360" w:hanging="360"/>
      </w:pPr>
    </w:lvl>
  </w:abstractNum>
  <w:abstractNum w:abstractNumId="9" w15:restartNumberingAfterBreak="0">
    <w:nsid w:val="003C2C21"/>
    <w:multiLevelType w:val="singleLevel"/>
    <w:tmpl w:val="B0CE791E"/>
    <w:lvl w:ilvl="0">
      <w:start w:val="1"/>
      <w:numFmt w:val="lowerRoman"/>
      <w:pStyle w:val="Para3roman"/>
      <w:lvlText w:val="%1."/>
      <w:lvlJc w:val="left"/>
      <w:pPr>
        <w:ind w:left="1701" w:hanging="425"/>
      </w:pPr>
      <w:rPr>
        <w:rFonts w:hint="default"/>
      </w:rPr>
    </w:lvl>
  </w:abstractNum>
  <w:abstractNum w:abstractNumId="10" w15:restartNumberingAfterBreak="0">
    <w:nsid w:val="01610F19"/>
    <w:multiLevelType w:val="hybridMultilevel"/>
    <w:tmpl w:val="EEA85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AE139E"/>
    <w:multiLevelType w:val="hybridMultilevel"/>
    <w:tmpl w:val="2B968C6E"/>
    <w:lvl w:ilvl="0" w:tplc="CDF6E0D6">
      <w:start w:val="1"/>
      <w:numFmt w:val="bullet"/>
      <w:pStyle w:val="Bodynarrow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C95399"/>
    <w:multiLevelType w:val="multilevel"/>
    <w:tmpl w:val="EEE8BB58"/>
    <w:styleLink w:val="JacobsBulletList1"/>
    <w:lvl w:ilvl="0">
      <w:start w:val="1"/>
      <w:numFmt w:val="bullet"/>
      <w:pStyle w:val="Para0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3" w15:restartNumberingAfterBreak="0">
    <w:nsid w:val="04F4365A"/>
    <w:multiLevelType w:val="hybridMultilevel"/>
    <w:tmpl w:val="9B00FBA4"/>
    <w:lvl w:ilvl="0" w:tplc="2B84F4F8">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07C53305"/>
    <w:multiLevelType w:val="multilevel"/>
    <w:tmpl w:val="E6E44C18"/>
    <w:styleLink w:val="Jacobs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15" w15:restartNumberingAfterBreak="0">
    <w:nsid w:val="081703E4"/>
    <w:multiLevelType w:val="multilevel"/>
    <w:tmpl w:val="1D02411C"/>
    <w:styleLink w:val="JacobsNumberedList13"/>
    <w:lvl w:ilvl="0">
      <w:start w:val="1"/>
      <w:numFmt w:val="decimal"/>
      <w:pStyle w:val="Para3number"/>
      <w:lvlText w:val="%1)"/>
      <w:lvlJc w:val="left"/>
      <w:pPr>
        <w:ind w:left="1701" w:hanging="425"/>
      </w:pPr>
      <w:rPr>
        <w:rFonts w:ascii="Jacobs Chronos" w:hAnsi="Jacobs Chronos" w:cs="Jacobs Chronos" w:hint="default"/>
        <w:b w:val="0"/>
        <w:i w:val="0"/>
        <w:color w:val="auto"/>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99D0038"/>
    <w:multiLevelType w:val="multilevel"/>
    <w:tmpl w:val="F5AC586E"/>
    <w:styleLink w:val="JacobsBulletList2"/>
    <w:lvl w:ilvl="0">
      <w:start w:val="1"/>
      <w:numFmt w:val="bullet"/>
      <w:pStyle w:val="Para0dash"/>
      <w:lvlText w:val="-"/>
      <w:lvlJc w:val="left"/>
      <w:pPr>
        <w:ind w:left="425" w:hanging="425"/>
      </w:pPr>
      <w:rPr>
        <w:rFonts w:ascii="Jacobs Chronos" w:hAnsi="Jacobs Chronos" w:cs="Jacobs Chronos"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7" w15:restartNumberingAfterBreak="0">
    <w:nsid w:val="09CF0B20"/>
    <w:multiLevelType w:val="hybridMultilevel"/>
    <w:tmpl w:val="8C647EAC"/>
    <w:lvl w:ilvl="0" w:tplc="F10634C8">
      <w:start w:val="1"/>
      <w:numFmt w:val="bullet"/>
      <w:pStyle w:val="ContentBulletsArrow"/>
      <w:lvlText w:val="&gt;"/>
      <w:lvlJc w:val="left"/>
      <w:pPr>
        <w:ind w:left="4298" w:hanging="851"/>
      </w:pPr>
      <w:rPr>
        <w:rFonts w:ascii="Jacobs Chronos" w:hAnsi="Jacobs Chronos" w:cs="Jacobs Chronos" w:hint="default"/>
      </w:rPr>
    </w:lvl>
    <w:lvl w:ilvl="1" w:tplc="FDE27A44" w:tentative="1">
      <w:start w:val="1"/>
      <w:numFmt w:val="bullet"/>
      <w:lvlText w:val="o"/>
      <w:lvlJc w:val="left"/>
      <w:pPr>
        <w:ind w:left="5171" w:hanging="360"/>
      </w:pPr>
      <w:rPr>
        <w:rFonts w:ascii="Courier New" w:hAnsi="Courier New" w:hint="default"/>
      </w:rPr>
    </w:lvl>
    <w:lvl w:ilvl="2" w:tplc="221026D4" w:tentative="1">
      <w:start w:val="1"/>
      <w:numFmt w:val="bullet"/>
      <w:lvlText w:val=""/>
      <w:lvlJc w:val="left"/>
      <w:pPr>
        <w:ind w:left="5891" w:hanging="360"/>
      </w:pPr>
      <w:rPr>
        <w:rFonts w:ascii="Wingdings" w:hAnsi="Wingdings" w:hint="default"/>
      </w:rPr>
    </w:lvl>
    <w:lvl w:ilvl="3" w:tplc="D6BC9188" w:tentative="1">
      <w:start w:val="1"/>
      <w:numFmt w:val="bullet"/>
      <w:lvlText w:val=""/>
      <w:lvlJc w:val="left"/>
      <w:pPr>
        <w:ind w:left="6611" w:hanging="360"/>
      </w:pPr>
      <w:rPr>
        <w:rFonts w:ascii="Symbol" w:hAnsi="Symbol" w:hint="default"/>
      </w:rPr>
    </w:lvl>
    <w:lvl w:ilvl="4" w:tplc="B0845AFC" w:tentative="1">
      <w:start w:val="1"/>
      <w:numFmt w:val="bullet"/>
      <w:lvlText w:val="o"/>
      <w:lvlJc w:val="left"/>
      <w:pPr>
        <w:ind w:left="7331" w:hanging="360"/>
      </w:pPr>
      <w:rPr>
        <w:rFonts w:ascii="Courier New" w:hAnsi="Courier New" w:hint="default"/>
      </w:rPr>
    </w:lvl>
    <w:lvl w:ilvl="5" w:tplc="E742928C" w:tentative="1">
      <w:start w:val="1"/>
      <w:numFmt w:val="bullet"/>
      <w:lvlText w:val=""/>
      <w:lvlJc w:val="left"/>
      <w:pPr>
        <w:ind w:left="8051" w:hanging="360"/>
      </w:pPr>
      <w:rPr>
        <w:rFonts w:ascii="Wingdings" w:hAnsi="Wingdings" w:hint="default"/>
      </w:rPr>
    </w:lvl>
    <w:lvl w:ilvl="6" w:tplc="A176A3DA" w:tentative="1">
      <w:start w:val="1"/>
      <w:numFmt w:val="bullet"/>
      <w:lvlText w:val=""/>
      <w:lvlJc w:val="left"/>
      <w:pPr>
        <w:ind w:left="8771" w:hanging="360"/>
      </w:pPr>
      <w:rPr>
        <w:rFonts w:ascii="Symbol" w:hAnsi="Symbol" w:hint="default"/>
      </w:rPr>
    </w:lvl>
    <w:lvl w:ilvl="7" w:tplc="6A8C04FA" w:tentative="1">
      <w:start w:val="1"/>
      <w:numFmt w:val="bullet"/>
      <w:lvlText w:val="o"/>
      <w:lvlJc w:val="left"/>
      <w:pPr>
        <w:ind w:left="9491" w:hanging="360"/>
      </w:pPr>
      <w:rPr>
        <w:rFonts w:ascii="Courier New" w:hAnsi="Courier New" w:hint="default"/>
      </w:rPr>
    </w:lvl>
    <w:lvl w:ilvl="8" w:tplc="33444060" w:tentative="1">
      <w:start w:val="1"/>
      <w:numFmt w:val="bullet"/>
      <w:lvlText w:val=""/>
      <w:lvlJc w:val="left"/>
      <w:pPr>
        <w:ind w:left="10211" w:hanging="360"/>
      </w:pPr>
      <w:rPr>
        <w:rFonts w:ascii="Wingdings" w:hAnsi="Wingdings" w:hint="default"/>
      </w:rPr>
    </w:lvl>
  </w:abstractNum>
  <w:abstractNum w:abstractNumId="18" w15:restartNumberingAfterBreak="0">
    <w:nsid w:val="09E53B47"/>
    <w:multiLevelType w:val="hybridMultilevel"/>
    <w:tmpl w:val="255CAABC"/>
    <w:lvl w:ilvl="0" w:tplc="092C556A">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EF2D64"/>
    <w:multiLevelType w:val="multilevel"/>
    <w:tmpl w:val="6B88BC32"/>
    <w:styleLink w:val="JacobsSmallTableNumberedList1"/>
    <w:lvl w:ilvl="0">
      <w:start w:val="1"/>
      <w:numFmt w:val="decimal"/>
      <w:pStyle w:val="Tablesmallnumber"/>
      <w:lvlText w:val="%1)"/>
      <w:lvlJc w:val="left"/>
      <w:pPr>
        <w:ind w:left="283" w:hanging="283"/>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20" w15:restartNumberingAfterBreak="0">
    <w:nsid w:val="0B381398"/>
    <w:multiLevelType w:val="multilevel"/>
    <w:tmpl w:val="3E802D5E"/>
    <w:styleLink w:val="JacobsTableNumberedList2"/>
    <w:lvl w:ilvl="0">
      <w:start w:val="1"/>
      <w:numFmt w:val="lowerLetter"/>
      <w:pStyle w:val="Tableletter"/>
      <w:lvlText w:val="%1)"/>
      <w:lvlJc w:val="left"/>
      <w:pPr>
        <w:ind w:left="283" w:hanging="283"/>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1" w15:restartNumberingAfterBreak="0">
    <w:nsid w:val="0B4C097B"/>
    <w:multiLevelType w:val="multilevel"/>
    <w:tmpl w:val="62DE471C"/>
    <w:styleLink w:val="JacobsSingleSequentialList"/>
    <w:lvl w:ilvl="0">
      <w:start w:val="1"/>
      <w:numFmt w:val="decimal"/>
      <w:pStyle w:val="SingleSequential"/>
      <w:lvlText w:val="%1."/>
      <w:lvlJc w:val="left"/>
      <w:pPr>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0B684144"/>
    <w:multiLevelType w:val="multilevel"/>
    <w:tmpl w:val="D89C6C1C"/>
    <w:styleLink w:val="JacobsTable2Item"/>
    <w:lvl w:ilvl="0">
      <w:start w:val="1"/>
      <w:numFmt w:val="decimal"/>
      <w:pStyle w:val="Table2item"/>
      <w:lvlText w:val="%1"/>
      <w:lvlJc w:val="left"/>
      <w:pPr>
        <w:tabs>
          <w:tab w:val="num" w:pos="567"/>
        </w:tabs>
        <w:ind w:left="567" w:hanging="283"/>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0C350032"/>
    <w:multiLevelType w:val="multilevel"/>
    <w:tmpl w:val="0D9C86FC"/>
    <w:lvl w:ilvl="0">
      <w:start w:val="1"/>
      <w:numFmt w:val="lowerLetter"/>
      <w:pStyle w:val="Para4letter"/>
      <w:lvlText w:val="%1)"/>
      <w:lvlJc w:val="left"/>
      <w:pPr>
        <w:ind w:left="2126"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0D5A71CC"/>
    <w:multiLevelType w:val="hybridMultilevel"/>
    <w:tmpl w:val="BD12146E"/>
    <w:lvl w:ilvl="0" w:tplc="2BF6D9CC">
      <w:start w:val="1"/>
      <w:numFmt w:val="bullet"/>
      <w:lvlText w:val=""/>
      <w:lvlJc w:val="left"/>
      <w:pPr>
        <w:tabs>
          <w:tab w:val="num" w:pos="720"/>
        </w:tabs>
        <w:ind w:left="720" w:hanging="360"/>
      </w:pPr>
      <w:rPr>
        <w:rFonts w:ascii="Wingdings" w:hAnsi="Wingdings" w:hint="default"/>
      </w:rPr>
    </w:lvl>
    <w:lvl w:ilvl="1" w:tplc="20803E10">
      <w:start w:val="55"/>
      <w:numFmt w:val="bullet"/>
      <w:lvlText w:val="−"/>
      <w:lvlJc w:val="left"/>
      <w:pPr>
        <w:tabs>
          <w:tab w:val="num" w:pos="1440"/>
        </w:tabs>
        <w:ind w:left="1440" w:hanging="360"/>
      </w:pPr>
      <w:rPr>
        <w:rFonts w:ascii="Jacobs Chronos" w:hAnsi="Jacobs Chronos" w:hint="default"/>
      </w:rPr>
    </w:lvl>
    <w:lvl w:ilvl="2" w:tplc="3C4CA4E6" w:tentative="1">
      <w:start w:val="1"/>
      <w:numFmt w:val="bullet"/>
      <w:lvlText w:val=""/>
      <w:lvlJc w:val="left"/>
      <w:pPr>
        <w:tabs>
          <w:tab w:val="num" w:pos="2160"/>
        </w:tabs>
        <w:ind w:left="2160" w:hanging="360"/>
      </w:pPr>
      <w:rPr>
        <w:rFonts w:ascii="Wingdings" w:hAnsi="Wingdings" w:hint="default"/>
      </w:rPr>
    </w:lvl>
    <w:lvl w:ilvl="3" w:tplc="BEB6DE3C" w:tentative="1">
      <w:start w:val="1"/>
      <w:numFmt w:val="bullet"/>
      <w:lvlText w:val=""/>
      <w:lvlJc w:val="left"/>
      <w:pPr>
        <w:tabs>
          <w:tab w:val="num" w:pos="2880"/>
        </w:tabs>
        <w:ind w:left="2880" w:hanging="360"/>
      </w:pPr>
      <w:rPr>
        <w:rFonts w:ascii="Wingdings" w:hAnsi="Wingdings" w:hint="default"/>
      </w:rPr>
    </w:lvl>
    <w:lvl w:ilvl="4" w:tplc="4622DB88" w:tentative="1">
      <w:start w:val="1"/>
      <w:numFmt w:val="bullet"/>
      <w:lvlText w:val=""/>
      <w:lvlJc w:val="left"/>
      <w:pPr>
        <w:tabs>
          <w:tab w:val="num" w:pos="3600"/>
        </w:tabs>
        <w:ind w:left="3600" w:hanging="360"/>
      </w:pPr>
      <w:rPr>
        <w:rFonts w:ascii="Wingdings" w:hAnsi="Wingdings" w:hint="default"/>
      </w:rPr>
    </w:lvl>
    <w:lvl w:ilvl="5" w:tplc="A142FE08" w:tentative="1">
      <w:start w:val="1"/>
      <w:numFmt w:val="bullet"/>
      <w:lvlText w:val=""/>
      <w:lvlJc w:val="left"/>
      <w:pPr>
        <w:tabs>
          <w:tab w:val="num" w:pos="4320"/>
        </w:tabs>
        <w:ind w:left="4320" w:hanging="360"/>
      </w:pPr>
      <w:rPr>
        <w:rFonts w:ascii="Wingdings" w:hAnsi="Wingdings" w:hint="default"/>
      </w:rPr>
    </w:lvl>
    <w:lvl w:ilvl="6" w:tplc="2886097A" w:tentative="1">
      <w:start w:val="1"/>
      <w:numFmt w:val="bullet"/>
      <w:lvlText w:val=""/>
      <w:lvlJc w:val="left"/>
      <w:pPr>
        <w:tabs>
          <w:tab w:val="num" w:pos="5040"/>
        </w:tabs>
        <w:ind w:left="5040" w:hanging="360"/>
      </w:pPr>
      <w:rPr>
        <w:rFonts w:ascii="Wingdings" w:hAnsi="Wingdings" w:hint="default"/>
      </w:rPr>
    </w:lvl>
    <w:lvl w:ilvl="7" w:tplc="06B00994" w:tentative="1">
      <w:start w:val="1"/>
      <w:numFmt w:val="bullet"/>
      <w:lvlText w:val=""/>
      <w:lvlJc w:val="left"/>
      <w:pPr>
        <w:tabs>
          <w:tab w:val="num" w:pos="5760"/>
        </w:tabs>
        <w:ind w:left="5760" w:hanging="360"/>
      </w:pPr>
      <w:rPr>
        <w:rFonts w:ascii="Wingdings" w:hAnsi="Wingdings" w:hint="default"/>
      </w:rPr>
    </w:lvl>
    <w:lvl w:ilvl="8" w:tplc="C402106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E3F3681"/>
    <w:multiLevelType w:val="multilevel"/>
    <w:tmpl w:val="DC36AEF6"/>
    <w:styleLink w:val="JacobsTable2SmallItem"/>
    <w:lvl w:ilvl="0">
      <w:start w:val="1"/>
      <w:numFmt w:val="decimal"/>
      <w:pStyle w:val="Table2smallitem"/>
      <w:lvlText w:val="%1"/>
      <w:lvlJc w:val="left"/>
      <w:pPr>
        <w:tabs>
          <w:tab w:val="num" w:pos="567"/>
        </w:tabs>
        <w:ind w:left="567" w:hanging="284"/>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149B38D1"/>
    <w:multiLevelType w:val="multilevel"/>
    <w:tmpl w:val="6CCEA0F2"/>
    <w:styleLink w:val="JacobsSmallTableNumberedList2"/>
    <w:lvl w:ilvl="0">
      <w:start w:val="1"/>
      <w:numFmt w:val="lowerLetter"/>
      <w:pStyle w:val="Tablesmallletter"/>
      <w:lvlText w:val="%1)"/>
      <w:lvlJc w:val="left"/>
      <w:pPr>
        <w:ind w:left="283" w:hanging="283"/>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7" w15:restartNumberingAfterBreak="0">
    <w:nsid w:val="15587C12"/>
    <w:multiLevelType w:val="multilevel"/>
    <w:tmpl w:val="0A42F504"/>
    <w:styleLink w:val="JacobsTableList1"/>
    <w:lvl w:ilvl="0">
      <w:start w:val="1"/>
      <w:numFmt w:val="bullet"/>
      <w:pStyle w:val="Tablebullet"/>
      <w:lvlText w:val="§"/>
      <w:lvlJc w:val="left"/>
      <w:pPr>
        <w:ind w:left="284" w:hanging="284"/>
      </w:pPr>
      <w:rPr>
        <w:rFonts w:ascii="Wingdings" w:hAnsi="Wingdings"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8" w15:restartNumberingAfterBreak="0">
    <w:nsid w:val="15C02A74"/>
    <w:multiLevelType w:val="multilevel"/>
    <w:tmpl w:val="438CAD2E"/>
    <w:styleLink w:val="JacobsNumberedList32"/>
    <w:lvl w:ilvl="0">
      <w:start w:val="1"/>
      <w:numFmt w:val="lowerRoman"/>
      <w:pStyle w:val="Para2roman"/>
      <w:lvlText w:val="%1."/>
      <w:lvlJc w:val="left"/>
      <w:pPr>
        <w:ind w:left="1276"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7EC5BB2"/>
    <w:multiLevelType w:val="multilevel"/>
    <w:tmpl w:val="E8662322"/>
    <w:styleLink w:val="Jacobs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30" w15:restartNumberingAfterBreak="0">
    <w:nsid w:val="1857777E"/>
    <w:multiLevelType w:val="singleLevel"/>
    <w:tmpl w:val="7318D970"/>
    <w:lvl w:ilvl="0">
      <w:start w:val="1"/>
      <w:numFmt w:val="lowerRoman"/>
      <w:pStyle w:val="Para1roman"/>
      <w:lvlText w:val="%1."/>
      <w:lvlJc w:val="left"/>
      <w:pPr>
        <w:ind w:left="851" w:hanging="426"/>
      </w:pPr>
      <w:rPr>
        <w:rFonts w:hint="default"/>
      </w:rPr>
    </w:lvl>
  </w:abstractNum>
  <w:abstractNum w:abstractNumId="31" w15:restartNumberingAfterBreak="0">
    <w:nsid w:val="198A69D5"/>
    <w:multiLevelType w:val="multilevel"/>
    <w:tmpl w:val="69C62C24"/>
    <w:styleLink w:val="JacobsNumberedList11"/>
    <w:lvl w:ilvl="0">
      <w:start w:val="1"/>
      <w:numFmt w:val="decimal"/>
      <w:pStyle w:val="Para1number"/>
      <w:lvlText w:val="%1)"/>
      <w:lvlJc w:val="left"/>
      <w:pPr>
        <w:ind w:left="850" w:hanging="425"/>
      </w:pPr>
      <w:rPr>
        <w:rFonts w:ascii="Jacobs Chronos" w:hAnsi="Jacobs Chronos" w:cs="Jacobs Chronos"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C8C638D"/>
    <w:multiLevelType w:val="multilevel"/>
    <w:tmpl w:val="BD3067A6"/>
    <w:styleLink w:val="Jacobs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33" w15:restartNumberingAfterBreak="0">
    <w:nsid w:val="21F72A4F"/>
    <w:multiLevelType w:val="hybridMultilevel"/>
    <w:tmpl w:val="B07E8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2BD5706"/>
    <w:multiLevelType w:val="multilevel"/>
    <w:tmpl w:val="0060B47C"/>
    <w:styleLink w:val="JacobsBodyList"/>
    <w:lvl w:ilvl="0">
      <w:start w:val="1"/>
      <w:numFmt w:val="bullet"/>
      <w:lvlText w:val=""/>
      <w:lvlJc w:val="left"/>
      <w:pPr>
        <w:tabs>
          <w:tab w:val="num" w:pos="3600"/>
        </w:tabs>
        <w:ind w:left="3600" w:hanging="3600"/>
      </w:pPr>
      <w:rPr>
        <w:rFonts w:ascii="Symbol" w:hAnsi="Symbol" w:hint="default"/>
        <w:color w:val="auto"/>
      </w:rPr>
    </w:lvl>
    <w:lvl w:ilvl="1">
      <w:start w:val="1"/>
      <w:numFmt w:val="bullet"/>
      <w:lvlRestart w:val="0"/>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35" w15:restartNumberingAfterBreak="0">
    <w:nsid w:val="244101A1"/>
    <w:multiLevelType w:val="multilevel"/>
    <w:tmpl w:val="ABE4DDAE"/>
    <w:lvl w:ilvl="0">
      <w:start w:val="1"/>
      <w:numFmt w:val="none"/>
      <w:pStyle w:val="SubHeading1"/>
      <w:suff w:val="nothing"/>
      <w:lvlText w:val="%1"/>
      <w:lvlJc w:val="left"/>
      <w:pPr>
        <w:ind w:left="0" w:firstLine="0"/>
      </w:pPr>
      <w:rPr>
        <w:rFonts w:ascii="Jacobs Chronos" w:hAnsi="Jacobs Chronos" w:cs="Jacobs Chronos" w:hint="default"/>
        <w:b/>
        <w:i w:val="0"/>
        <w:sz w:val="24"/>
      </w:rPr>
    </w:lvl>
    <w:lvl w:ilvl="1">
      <w:start w:val="1"/>
      <w:numFmt w:val="none"/>
      <w:lvlText w:val="%2"/>
      <w:lvlJc w:val="left"/>
      <w:pPr>
        <w:tabs>
          <w:tab w:val="num" w:pos="360"/>
        </w:tabs>
        <w:ind w:left="0" w:firstLine="0"/>
      </w:pPr>
      <w:rPr>
        <w:rFonts w:ascii="Jacobs Chronos" w:hAnsi="Jacobs Chronos" w:cs="Jacobs Chronos" w:hint="default"/>
        <w:b/>
        <w:i w:val="0"/>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244E0817"/>
    <w:multiLevelType w:val="multilevel"/>
    <w:tmpl w:val="C4580038"/>
    <w:styleLink w:val="JacobsTable2SmallList1"/>
    <w:lvl w:ilvl="0">
      <w:start w:val="1"/>
      <w:numFmt w:val="bullet"/>
      <w:pStyle w:val="Table2smallbullet"/>
      <w:lvlText w:val="§"/>
      <w:lvlJc w:val="left"/>
      <w:pPr>
        <w:tabs>
          <w:tab w:val="num" w:pos="567"/>
        </w:tabs>
        <w:ind w:left="567" w:hanging="283"/>
      </w:pPr>
      <w:rPr>
        <w:rFonts w:ascii="Wingdings" w:hAnsi="Wingdings" w:hint="default"/>
        <w:color w:val="auto"/>
      </w:rPr>
    </w:lvl>
    <w:lvl w:ilvl="1">
      <w:start w:val="1"/>
      <w:numFmt w:val="none"/>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15:restartNumberingAfterBreak="0">
    <w:nsid w:val="25167EBA"/>
    <w:multiLevelType w:val="multilevel"/>
    <w:tmpl w:val="10E8194E"/>
    <w:styleLink w:val="JacobsTable2SmallNumberedList1"/>
    <w:lvl w:ilvl="0">
      <w:start w:val="1"/>
      <w:numFmt w:val="decimal"/>
      <w:pStyle w:val="Table2smallnumber"/>
      <w:lvlText w:val="%1)"/>
      <w:lvlJc w:val="left"/>
      <w:pPr>
        <w:tabs>
          <w:tab w:val="num" w:pos="567"/>
        </w:tabs>
        <w:ind w:left="567" w:hanging="284"/>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8" w15:restartNumberingAfterBreak="0">
    <w:nsid w:val="28FE6194"/>
    <w:multiLevelType w:val="multilevel"/>
    <w:tmpl w:val="5100E6EA"/>
    <w:styleLink w:val="JacobsNumberedList24"/>
    <w:lvl w:ilvl="0">
      <w:start w:val="1"/>
      <w:numFmt w:val="lowerLetter"/>
      <w:lvlText w:val="%1)"/>
      <w:lvlJc w:val="left"/>
      <w:pPr>
        <w:ind w:left="2155"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9170E7C"/>
    <w:multiLevelType w:val="hybridMultilevel"/>
    <w:tmpl w:val="D71031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2AFC3193"/>
    <w:multiLevelType w:val="hybridMultilevel"/>
    <w:tmpl w:val="AC8AB024"/>
    <w:lvl w:ilvl="0" w:tplc="96D60054">
      <w:start w:val="1"/>
      <w:numFmt w:val="lowerLetter"/>
      <w:pStyle w:val="ContentBulletsLetter"/>
      <w:lvlText w:val="%1)"/>
      <w:lvlJc w:val="left"/>
      <w:pPr>
        <w:ind w:left="1418" w:hanging="851"/>
      </w:pPr>
      <w:rPr>
        <w:rFonts w:hint="default"/>
      </w:rPr>
    </w:lvl>
    <w:lvl w:ilvl="1" w:tplc="CEAEA6BE">
      <w:start w:val="1"/>
      <w:numFmt w:val="lowerLetter"/>
      <w:lvlText w:val="%2."/>
      <w:lvlJc w:val="left"/>
      <w:pPr>
        <w:ind w:left="1440" w:hanging="360"/>
      </w:pPr>
    </w:lvl>
    <w:lvl w:ilvl="2" w:tplc="726281C0" w:tentative="1">
      <w:start w:val="1"/>
      <w:numFmt w:val="lowerRoman"/>
      <w:lvlText w:val="%3."/>
      <w:lvlJc w:val="right"/>
      <w:pPr>
        <w:ind w:left="2160" w:hanging="180"/>
      </w:pPr>
    </w:lvl>
    <w:lvl w:ilvl="3" w:tplc="441EB3B4" w:tentative="1">
      <w:start w:val="1"/>
      <w:numFmt w:val="decimal"/>
      <w:lvlText w:val="%4."/>
      <w:lvlJc w:val="left"/>
      <w:pPr>
        <w:ind w:left="2880" w:hanging="360"/>
      </w:pPr>
    </w:lvl>
    <w:lvl w:ilvl="4" w:tplc="8E12C5A2" w:tentative="1">
      <w:start w:val="1"/>
      <w:numFmt w:val="lowerLetter"/>
      <w:lvlText w:val="%5."/>
      <w:lvlJc w:val="left"/>
      <w:pPr>
        <w:ind w:left="3600" w:hanging="360"/>
      </w:pPr>
    </w:lvl>
    <w:lvl w:ilvl="5" w:tplc="7FBE19C0" w:tentative="1">
      <w:start w:val="1"/>
      <w:numFmt w:val="lowerRoman"/>
      <w:lvlText w:val="%6."/>
      <w:lvlJc w:val="right"/>
      <w:pPr>
        <w:ind w:left="4320" w:hanging="180"/>
      </w:pPr>
    </w:lvl>
    <w:lvl w:ilvl="6" w:tplc="37948A54" w:tentative="1">
      <w:start w:val="1"/>
      <w:numFmt w:val="decimal"/>
      <w:lvlText w:val="%7."/>
      <w:lvlJc w:val="left"/>
      <w:pPr>
        <w:ind w:left="5040" w:hanging="360"/>
      </w:pPr>
    </w:lvl>
    <w:lvl w:ilvl="7" w:tplc="4E9C4C02" w:tentative="1">
      <w:start w:val="1"/>
      <w:numFmt w:val="lowerLetter"/>
      <w:lvlText w:val="%8."/>
      <w:lvlJc w:val="left"/>
      <w:pPr>
        <w:ind w:left="5760" w:hanging="360"/>
      </w:pPr>
    </w:lvl>
    <w:lvl w:ilvl="8" w:tplc="81DE9170" w:tentative="1">
      <w:start w:val="1"/>
      <w:numFmt w:val="lowerRoman"/>
      <w:lvlText w:val="%9."/>
      <w:lvlJc w:val="right"/>
      <w:pPr>
        <w:ind w:left="6480" w:hanging="180"/>
      </w:pPr>
    </w:lvl>
  </w:abstractNum>
  <w:abstractNum w:abstractNumId="41" w15:restartNumberingAfterBreak="0">
    <w:nsid w:val="2C8C3A99"/>
    <w:multiLevelType w:val="multilevel"/>
    <w:tmpl w:val="405A2AB4"/>
    <w:styleLink w:val="JacobsNumberedList21"/>
    <w:lvl w:ilvl="0">
      <w:start w:val="1"/>
      <w:numFmt w:val="lowerLetter"/>
      <w:lvlText w:val="%1)"/>
      <w:lvlJc w:val="left"/>
      <w:pPr>
        <w:ind w:left="425" w:hanging="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2CFB5491"/>
    <w:multiLevelType w:val="hybridMultilevel"/>
    <w:tmpl w:val="46580D8A"/>
    <w:lvl w:ilvl="0" w:tplc="A72A769C">
      <w:start w:val="1"/>
      <w:numFmt w:val="bullet"/>
      <w:pStyle w:val="PenPicSidebarbullet"/>
      <w:lvlText w:val="§"/>
      <w:lvlJc w:val="left"/>
      <w:pPr>
        <w:ind w:left="955" w:hanging="360"/>
      </w:pPr>
      <w:rPr>
        <w:rFonts w:ascii="Wingdings" w:hAnsi="Wingdings" w:hint="default"/>
        <w:color w:val="000000"/>
        <w:sz w:val="16"/>
      </w:rPr>
    </w:lvl>
    <w:lvl w:ilvl="1" w:tplc="91643EC6" w:tentative="1">
      <w:start w:val="1"/>
      <w:numFmt w:val="bullet"/>
      <w:lvlText w:val="o"/>
      <w:lvlJc w:val="left"/>
      <w:pPr>
        <w:ind w:left="1675" w:hanging="360"/>
      </w:pPr>
      <w:rPr>
        <w:rFonts w:ascii="Courier New" w:hAnsi="Courier New" w:cs="Courier New" w:hint="default"/>
      </w:rPr>
    </w:lvl>
    <w:lvl w:ilvl="2" w:tplc="9EAA4C7A" w:tentative="1">
      <w:start w:val="1"/>
      <w:numFmt w:val="bullet"/>
      <w:lvlText w:val=""/>
      <w:lvlJc w:val="left"/>
      <w:pPr>
        <w:ind w:left="2395" w:hanging="360"/>
      </w:pPr>
      <w:rPr>
        <w:rFonts w:ascii="Wingdings" w:hAnsi="Wingdings" w:hint="default"/>
      </w:rPr>
    </w:lvl>
    <w:lvl w:ilvl="3" w:tplc="670EE6BA" w:tentative="1">
      <w:start w:val="1"/>
      <w:numFmt w:val="bullet"/>
      <w:lvlText w:val=""/>
      <w:lvlJc w:val="left"/>
      <w:pPr>
        <w:ind w:left="3115" w:hanging="360"/>
      </w:pPr>
      <w:rPr>
        <w:rFonts w:ascii="Symbol" w:hAnsi="Symbol" w:hint="default"/>
      </w:rPr>
    </w:lvl>
    <w:lvl w:ilvl="4" w:tplc="1C543BB0" w:tentative="1">
      <w:start w:val="1"/>
      <w:numFmt w:val="bullet"/>
      <w:lvlText w:val="o"/>
      <w:lvlJc w:val="left"/>
      <w:pPr>
        <w:ind w:left="3835" w:hanging="360"/>
      </w:pPr>
      <w:rPr>
        <w:rFonts w:ascii="Courier New" w:hAnsi="Courier New" w:cs="Courier New" w:hint="default"/>
      </w:rPr>
    </w:lvl>
    <w:lvl w:ilvl="5" w:tplc="44EA484A" w:tentative="1">
      <w:start w:val="1"/>
      <w:numFmt w:val="bullet"/>
      <w:lvlText w:val=""/>
      <w:lvlJc w:val="left"/>
      <w:pPr>
        <w:ind w:left="4555" w:hanging="360"/>
      </w:pPr>
      <w:rPr>
        <w:rFonts w:ascii="Wingdings" w:hAnsi="Wingdings" w:hint="default"/>
      </w:rPr>
    </w:lvl>
    <w:lvl w:ilvl="6" w:tplc="D5F0070C" w:tentative="1">
      <w:start w:val="1"/>
      <w:numFmt w:val="bullet"/>
      <w:lvlText w:val=""/>
      <w:lvlJc w:val="left"/>
      <w:pPr>
        <w:ind w:left="5275" w:hanging="360"/>
      </w:pPr>
      <w:rPr>
        <w:rFonts w:ascii="Symbol" w:hAnsi="Symbol" w:hint="default"/>
      </w:rPr>
    </w:lvl>
    <w:lvl w:ilvl="7" w:tplc="9A7605D8" w:tentative="1">
      <w:start w:val="1"/>
      <w:numFmt w:val="bullet"/>
      <w:lvlText w:val="o"/>
      <w:lvlJc w:val="left"/>
      <w:pPr>
        <w:ind w:left="5995" w:hanging="360"/>
      </w:pPr>
      <w:rPr>
        <w:rFonts w:ascii="Courier New" w:hAnsi="Courier New" w:cs="Courier New" w:hint="default"/>
      </w:rPr>
    </w:lvl>
    <w:lvl w:ilvl="8" w:tplc="B272450A" w:tentative="1">
      <w:start w:val="1"/>
      <w:numFmt w:val="bullet"/>
      <w:lvlText w:val=""/>
      <w:lvlJc w:val="left"/>
      <w:pPr>
        <w:ind w:left="6715" w:hanging="360"/>
      </w:pPr>
      <w:rPr>
        <w:rFonts w:ascii="Wingdings" w:hAnsi="Wingdings" w:hint="default"/>
      </w:rPr>
    </w:lvl>
  </w:abstractNum>
  <w:abstractNum w:abstractNumId="43" w15:restartNumberingAfterBreak="0">
    <w:nsid w:val="2FED62EC"/>
    <w:multiLevelType w:val="multilevel"/>
    <w:tmpl w:val="E1BEE56C"/>
    <w:styleLink w:val="JacobsTablesmallitem"/>
    <w:lvl w:ilvl="0">
      <w:start w:val="1"/>
      <w:numFmt w:val="decimal"/>
      <w:pStyle w:val="Tablesmallitem"/>
      <w:lvlText w:val="%1"/>
      <w:lvlJc w:val="left"/>
      <w:pPr>
        <w:ind w:left="283" w:hanging="283"/>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44" w15:restartNumberingAfterBreak="0">
    <w:nsid w:val="31D61197"/>
    <w:multiLevelType w:val="singleLevel"/>
    <w:tmpl w:val="CCC66BB0"/>
    <w:lvl w:ilvl="0">
      <w:start w:val="1"/>
      <w:numFmt w:val="lowerLetter"/>
      <w:pStyle w:val="Para1letter"/>
      <w:lvlText w:val="%1)"/>
      <w:lvlJc w:val="left"/>
      <w:pPr>
        <w:ind w:left="850" w:hanging="425"/>
      </w:pPr>
      <w:rPr>
        <w:rFonts w:hint="default"/>
      </w:rPr>
    </w:lvl>
  </w:abstractNum>
  <w:abstractNum w:abstractNumId="45" w15:restartNumberingAfterBreak="0">
    <w:nsid w:val="323B49B1"/>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15:restartNumberingAfterBreak="0">
    <w:nsid w:val="332C54AD"/>
    <w:multiLevelType w:val="multilevel"/>
    <w:tmpl w:val="A9A0D9D2"/>
    <w:styleLink w:val="JacobsTable2NumberedList1"/>
    <w:lvl w:ilvl="0">
      <w:start w:val="1"/>
      <w:numFmt w:val="decimal"/>
      <w:pStyle w:val="Table2number"/>
      <w:lvlText w:val="%1."/>
      <w:lvlJc w:val="left"/>
      <w:pPr>
        <w:tabs>
          <w:tab w:val="num" w:pos="567"/>
        </w:tabs>
        <w:ind w:left="567" w:hanging="283"/>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7" w15:restartNumberingAfterBreak="0">
    <w:nsid w:val="344B666B"/>
    <w:multiLevelType w:val="multilevel"/>
    <w:tmpl w:val="F6CEE00A"/>
    <w:styleLink w:val="JacobsTableItem"/>
    <w:lvl w:ilvl="0">
      <w:start w:val="1"/>
      <w:numFmt w:val="decimal"/>
      <w:pStyle w:val="Tableitem"/>
      <w:lvlText w:val="%1"/>
      <w:lvlJc w:val="left"/>
      <w:pPr>
        <w:ind w:left="283" w:hanging="283"/>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48" w15:restartNumberingAfterBreak="0">
    <w:nsid w:val="34555BA7"/>
    <w:multiLevelType w:val="hybridMultilevel"/>
    <w:tmpl w:val="1BB093FC"/>
    <w:lvl w:ilvl="0" w:tplc="CCC8BB6A">
      <w:start w:val="1"/>
      <w:numFmt w:val="lowerRoman"/>
      <w:pStyle w:val="ContentBulletsRomanNumeral"/>
      <w:lvlText w:val="%1."/>
      <w:lvlJc w:val="left"/>
      <w:pPr>
        <w:ind w:left="1418" w:hanging="851"/>
      </w:pPr>
      <w:rPr>
        <w:rFont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802558A"/>
    <w:multiLevelType w:val="multilevel"/>
    <w:tmpl w:val="418611DC"/>
    <w:lvl w:ilvl="0">
      <w:start w:val="1"/>
      <w:numFmt w:val="bullet"/>
      <w:pStyle w:val="SummaryBoxBullet"/>
      <w:lvlText w:val=""/>
      <w:lvlJc w:val="left"/>
      <w:pPr>
        <w:ind w:left="284" w:hanging="171"/>
      </w:pPr>
      <w:rPr>
        <w:rFonts w:ascii="Wingdings" w:hAnsi="Wingdings"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50" w15:restartNumberingAfterBreak="0">
    <w:nsid w:val="39D3055A"/>
    <w:multiLevelType w:val="hybridMultilevel"/>
    <w:tmpl w:val="0D50FB38"/>
    <w:lvl w:ilvl="0" w:tplc="25BCFD1C">
      <w:start w:val="1"/>
      <w:numFmt w:val="bullet"/>
      <w:lvlText w:val=""/>
      <w:lvlJc w:val="left"/>
      <w:pPr>
        <w:tabs>
          <w:tab w:val="num" w:pos="720"/>
        </w:tabs>
        <w:ind w:left="720" w:hanging="360"/>
      </w:pPr>
      <w:rPr>
        <w:rFonts w:ascii="Wingdings" w:hAnsi="Wingdings" w:hint="default"/>
      </w:rPr>
    </w:lvl>
    <w:lvl w:ilvl="1" w:tplc="A6FEE86A" w:tentative="1">
      <w:start w:val="1"/>
      <w:numFmt w:val="bullet"/>
      <w:lvlText w:val=""/>
      <w:lvlJc w:val="left"/>
      <w:pPr>
        <w:tabs>
          <w:tab w:val="num" w:pos="1440"/>
        </w:tabs>
        <w:ind w:left="1440" w:hanging="360"/>
      </w:pPr>
      <w:rPr>
        <w:rFonts w:ascii="Wingdings" w:hAnsi="Wingdings" w:hint="default"/>
      </w:rPr>
    </w:lvl>
    <w:lvl w:ilvl="2" w:tplc="BEC2987A" w:tentative="1">
      <w:start w:val="1"/>
      <w:numFmt w:val="bullet"/>
      <w:lvlText w:val=""/>
      <w:lvlJc w:val="left"/>
      <w:pPr>
        <w:tabs>
          <w:tab w:val="num" w:pos="2160"/>
        </w:tabs>
        <w:ind w:left="2160" w:hanging="360"/>
      </w:pPr>
      <w:rPr>
        <w:rFonts w:ascii="Wingdings" w:hAnsi="Wingdings" w:hint="default"/>
      </w:rPr>
    </w:lvl>
    <w:lvl w:ilvl="3" w:tplc="E4F09142" w:tentative="1">
      <w:start w:val="1"/>
      <w:numFmt w:val="bullet"/>
      <w:lvlText w:val=""/>
      <w:lvlJc w:val="left"/>
      <w:pPr>
        <w:tabs>
          <w:tab w:val="num" w:pos="2880"/>
        </w:tabs>
        <w:ind w:left="2880" w:hanging="360"/>
      </w:pPr>
      <w:rPr>
        <w:rFonts w:ascii="Wingdings" w:hAnsi="Wingdings" w:hint="default"/>
      </w:rPr>
    </w:lvl>
    <w:lvl w:ilvl="4" w:tplc="0DE44A24" w:tentative="1">
      <w:start w:val="1"/>
      <w:numFmt w:val="bullet"/>
      <w:lvlText w:val=""/>
      <w:lvlJc w:val="left"/>
      <w:pPr>
        <w:tabs>
          <w:tab w:val="num" w:pos="3600"/>
        </w:tabs>
        <w:ind w:left="3600" w:hanging="360"/>
      </w:pPr>
      <w:rPr>
        <w:rFonts w:ascii="Wingdings" w:hAnsi="Wingdings" w:hint="default"/>
      </w:rPr>
    </w:lvl>
    <w:lvl w:ilvl="5" w:tplc="BEE61E78" w:tentative="1">
      <w:start w:val="1"/>
      <w:numFmt w:val="bullet"/>
      <w:lvlText w:val=""/>
      <w:lvlJc w:val="left"/>
      <w:pPr>
        <w:tabs>
          <w:tab w:val="num" w:pos="4320"/>
        </w:tabs>
        <w:ind w:left="4320" w:hanging="360"/>
      </w:pPr>
      <w:rPr>
        <w:rFonts w:ascii="Wingdings" w:hAnsi="Wingdings" w:hint="default"/>
      </w:rPr>
    </w:lvl>
    <w:lvl w:ilvl="6" w:tplc="489864FC" w:tentative="1">
      <w:start w:val="1"/>
      <w:numFmt w:val="bullet"/>
      <w:lvlText w:val=""/>
      <w:lvlJc w:val="left"/>
      <w:pPr>
        <w:tabs>
          <w:tab w:val="num" w:pos="5040"/>
        </w:tabs>
        <w:ind w:left="5040" w:hanging="360"/>
      </w:pPr>
      <w:rPr>
        <w:rFonts w:ascii="Wingdings" w:hAnsi="Wingdings" w:hint="default"/>
      </w:rPr>
    </w:lvl>
    <w:lvl w:ilvl="7" w:tplc="6E54F1EE" w:tentative="1">
      <w:start w:val="1"/>
      <w:numFmt w:val="bullet"/>
      <w:lvlText w:val=""/>
      <w:lvlJc w:val="left"/>
      <w:pPr>
        <w:tabs>
          <w:tab w:val="num" w:pos="5760"/>
        </w:tabs>
        <w:ind w:left="5760" w:hanging="360"/>
      </w:pPr>
      <w:rPr>
        <w:rFonts w:ascii="Wingdings" w:hAnsi="Wingdings" w:hint="default"/>
      </w:rPr>
    </w:lvl>
    <w:lvl w:ilvl="8" w:tplc="F0BE5E6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A3C41A2"/>
    <w:multiLevelType w:val="multilevel"/>
    <w:tmpl w:val="A73418A2"/>
    <w:styleLink w:val="Jacobs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52" w15:restartNumberingAfterBreak="0">
    <w:nsid w:val="3A5F1748"/>
    <w:multiLevelType w:val="multilevel"/>
    <w:tmpl w:val="A9A0D9D2"/>
    <w:numStyleLink w:val="JacobsTable2NumberedList1"/>
  </w:abstractNum>
  <w:abstractNum w:abstractNumId="53" w15:restartNumberingAfterBreak="0">
    <w:nsid w:val="3AD53A78"/>
    <w:multiLevelType w:val="hybridMultilevel"/>
    <w:tmpl w:val="5874E09A"/>
    <w:lvl w:ilvl="0" w:tplc="2C88A3FA">
      <w:start w:val="1"/>
      <w:numFmt w:val="decimal"/>
      <w:pStyle w:val="ContentBulletsNumber"/>
      <w:lvlText w:val="%1."/>
      <w:lvlJc w:val="left"/>
      <w:pPr>
        <w:ind w:left="1418" w:hanging="851"/>
      </w:pPr>
      <w:rPr>
        <w:rFonts w:ascii="Jacobs Chronos" w:hAnsi="Jacobs Chronos" w:cs="Jacobs Chronos" w:hint="default"/>
        <w:b w:val="0"/>
        <w:bCs w:val="0"/>
        <w:i w:val="0"/>
        <w:iCs w:val="0"/>
        <w:color w:val="auto"/>
        <w:sz w:val="20"/>
        <w:szCs w:val="20"/>
      </w:rPr>
    </w:lvl>
    <w:lvl w:ilvl="1" w:tplc="BC964152" w:tentative="1">
      <w:start w:val="1"/>
      <w:numFmt w:val="lowerLetter"/>
      <w:lvlText w:val="%2."/>
      <w:lvlJc w:val="left"/>
      <w:pPr>
        <w:ind w:left="1440" w:hanging="360"/>
      </w:pPr>
    </w:lvl>
    <w:lvl w:ilvl="2" w:tplc="4A923C9A" w:tentative="1">
      <w:start w:val="1"/>
      <w:numFmt w:val="lowerRoman"/>
      <w:lvlText w:val="%3."/>
      <w:lvlJc w:val="right"/>
      <w:pPr>
        <w:ind w:left="2160" w:hanging="180"/>
      </w:pPr>
    </w:lvl>
    <w:lvl w:ilvl="3" w:tplc="7226ADAE" w:tentative="1">
      <w:start w:val="1"/>
      <w:numFmt w:val="decimal"/>
      <w:lvlText w:val="%4."/>
      <w:lvlJc w:val="left"/>
      <w:pPr>
        <w:ind w:left="2880" w:hanging="360"/>
      </w:pPr>
    </w:lvl>
    <w:lvl w:ilvl="4" w:tplc="986AA23C" w:tentative="1">
      <w:start w:val="1"/>
      <w:numFmt w:val="lowerLetter"/>
      <w:lvlText w:val="%5."/>
      <w:lvlJc w:val="left"/>
      <w:pPr>
        <w:ind w:left="3600" w:hanging="360"/>
      </w:pPr>
    </w:lvl>
    <w:lvl w:ilvl="5" w:tplc="79B6C6A2" w:tentative="1">
      <w:start w:val="1"/>
      <w:numFmt w:val="lowerRoman"/>
      <w:lvlText w:val="%6."/>
      <w:lvlJc w:val="right"/>
      <w:pPr>
        <w:ind w:left="4320" w:hanging="180"/>
      </w:pPr>
    </w:lvl>
    <w:lvl w:ilvl="6" w:tplc="C778D110" w:tentative="1">
      <w:start w:val="1"/>
      <w:numFmt w:val="decimal"/>
      <w:lvlText w:val="%7."/>
      <w:lvlJc w:val="left"/>
      <w:pPr>
        <w:ind w:left="5040" w:hanging="360"/>
      </w:pPr>
    </w:lvl>
    <w:lvl w:ilvl="7" w:tplc="FA52D17C" w:tentative="1">
      <w:start w:val="1"/>
      <w:numFmt w:val="lowerLetter"/>
      <w:lvlText w:val="%8."/>
      <w:lvlJc w:val="left"/>
      <w:pPr>
        <w:ind w:left="5760" w:hanging="360"/>
      </w:pPr>
    </w:lvl>
    <w:lvl w:ilvl="8" w:tplc="009CB5A2" w:tentative="1">
      <w:start w:val="1"/>
      <w:numFmt w:val="lowerRoman"/>
      <w:lvlText w:val="%9."/>
      <w:lvlJc w:val="right"/>
      <w:pPr>
        <w:ind w:left="6480" w:hanging="180"/>
      </w:pPr>
    </w:lvl>
  </w:abstractNum>
  <w:abstractNum w:abstractNumId="54" w15:restartNumberingAfterBreak="0">
    <w:nsid w:val="3D035E78"/>
    <w:multiLevelType w:val="multilevel"/>
    <w:tmpl w:val="24564522"/>
    <w:styleLink w:val="JacobsNumberedList12"/>
    <w:lvl w:ilvl="0">
      <w:start w:val="1"/>
      <w:numFmt w:val="decimal"/>
      <w:lvlText w:val="%1)"/>
      <w:lvlJc w:val="left"/>
      <w:pPr>
        <w:ind w:left="1247" w:hanging="396"/>
      </w:pPr>
      <w:rPr>
        <w:rFonts w:hint="default"/>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55" w15:restartNumberingAfterBreak="0">
    <w:nsid w:val="3D5A66FD"/>
    <w:multiLevelType w:val="multilevel"/>
    <w:tmpl w:val="5AFCE06A"/>
    <w:styleLink w:val="Jacobs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56" w15:restartNumberingAfterBreak="0">
    <w:nsid w:val="3DE655D1"/>
    <w:multiLevelType w:val="multilevel"/>
    <w:tmpl w:val="D89C6C1C"/>
    <w:numStyleLink w:val="JacobsTable2Item"/>
  </w:abstractNum>
  <w:abstractNum w:abstractNumId="57" w15:restartNumberingAfterBreak="0">
    <w:nsid w:val="3E5C0D8B"/>
    <w:multiLevelType w:val="multilevel"/>
    <w:tmpl w:val="CB006F10"/>
    <w:styleLink w:val="JacobsNumberedList14"/>
    <w:lvl w:ilvl="0">
      <w:start w:val="1"/>
      <w:numFmt w:val="decimal"/>
      <w:pStyle w:val="Para4number"/>
      <w:lvlText w:val="%1)"/>
      <w:lvlJc w:val="left"/>
      <w:pPr>
        <w:ind w:left="2126" w:hanging="425"/>
      </w:pPr>
      <w:rPr>
        <w:rFonts w:ascii="Jacobs Chronos" w:hAnsi="Jacobs Chronos" w:cs="Jacobs Chronos"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410F274B"/>
    <w:multiLevelType w:val="multilevel"/>
    <w:tmpl w:val="2530FD80"/>
    <w:styleLink w:val="JacobsNumberedList23"/>
    <w:lvl w:ilvl="0">
      <w:start w:val="1"/>
      <w:numFmt w:val="lowerLetter"/>
      <w:pStyle w:val="Para3letter"/>
      <w:lvlText w:val="%1)"/>
      <w:lvlJc w:val="left"/>
      <w:pPr>
        <w:ind w:left="1701" w:hanging="425"/>
      </w:pPr>
      <w:rPr>
        <w:rFonts w:hint="default"/>
      </w:rPr>
    </w:lvl>
    <w:lvl w:ilvl="1">
      <w:start w:val="1"/>
      <w:numFmt w:val="lowerLetter"/>
      <w:lvlText w:val="%2."/>
      <w:lvlJc w:val="left"/>
      <w:pPr>
        <w:ind w:left="2716" w:hanging="360"/>
      </w:pPr>
      <w:rPr>
        <w:rFonts w:hint="default"/>
      </w:rPr>
    </w:lvl>
    <w:lvl w:ilvl="2">
      <w:start w:val="1"/>
      <w:numFmt w:val="lowerRoman"/>
      <w:lvlText w:val="%3."/>
      <w:lvlJc w:val="right"/>
      <w:pPr>
        <w:ind w:left="3436" w:hanging="180"/>
      </w:pPr>
      <w:rPr>
        <w:rFonts w:hint="default"/>
      </w:rPr>
    </w:lvl>
    <w:lvl w:ilvl="3">
      <w:start w:val="1"/>
      <w:numFmt w:val="decimal"/>
      <w:lvlText w:val="%4."/>
      <w:lvlJc w:val="left"/>
      <w:pPr>
        <w:ind w:left="4156" w:hanging="360"/>
      </w:pPr>
      <w:rPr>
        <w:rFonts w:hint="default"/>
      </w:rPr>
    </w:lvl>
    <w:lvl w:ilvl="4">
      <w:start w:val="1"/>
      <w:numFmt w:val="lowerLetter"/>
      <w:lvlText w:val="%5."/>
      <w:lvlJc w:val="left"/>
      <w:pPr>
        <w:ind w:left="4876" w:hanging="360"/>
      </w:pPr>
      <w:rPr>
        <w:rFonts w:hint="default"/>
      </w:rPr>
    </w:lvl>
    <w:lvl w:ilvl="5">
      <w:start w:val="1"/>
      <w:numFmt w:val="lowerRoman"/>
      <w:lvlText w:val="%6."/>
      <w:lvlJc w:val="right"/>
      <w:pPr>
        <w:ind w:left="5596" w:hanging="180"/>
      </w:pPr>
      <w:rPr>
        <w:rFonts w:hint="default"/>
      </w:rPr>
    </w:lvl>
    <w:lvl w:ilvl="6">
      <w:start w:val="1"/>
      <w:numFmt w:val="decimal"/>
      <w:lvlText w:val="%7."/>
      <w:lvlJc w:val="left"/>
      <w:pPr>
        <w:ind w:left="6316" w:hanging="360"/>
      </w:pPr>
      <w:rPr>
        <w:rFonts w:hint="default"/>
      </w:rPr>
    </w:lvl>
    <w:lvl w:ilvl="7">
      <w:start w:val="1"/>
      <w:numFmt w:val="lowerLetter"/>
      <w:lvlText w:val="%8."/>
      <w:lvlJc w:val="left"/>
      <w:pPr>
        <w:ind w:left="7036" w:hanging="360"/>
      </w:pPr>
      <w:rPr>
        <w:rFonts w:hint="default"/>
      </w:rPr>
    </w:lvl>
    <w:lvl w:ilvl="8">
      <w:start w:val="1"/>
      <w:numFmt w:val="lowerRoman"/>
      <w:lvlText w:val="%9."/>
      <w:lvlJc w:val="right"/>
      <w:pPr>
        <w:ind w:left="7756" w:hanging="180"/>
      </w:pPr>
      <w:rPr>
        <w:rFonts w:hint="default"/>
      </w:rPr>
    </w:lvl>
  </w:abstractNum>
  <w:abstractNum w:abstractNumId="59" w15:restartNumberingAfterBreak="0">
    <w:nsid w:val="415A5EB9"/>
    <w:multiLevelType w:val="multilevel"/>
    <w:tmpl w:val="80ACB8AE"/>
    <w:numStyleLink w:val="JacobsTable2NumberdList2"/>
  </w:abstractNum>
  <w:abstractNum w:abstractNumId="60" w15:restartNumberingAfterBreak="0">
    <w:nsid w:val="4265682E"/>
    <w:multiLevelType w:val="multilevel"/>
    <w:tmpl w:val="6E74B694"/>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cs="Times New Roman" w:hint="default"/>
      </w:rPr>
    </w:lvl>
    <w:lvl w:ilvl="2">
      <w:start w:val="1"/>
      <w:numFmt w:val="bullet"/>
      <w:lvlText w:val="–"/>
      <w:lvlJc w:val="left"/>
      <w:pPr>
        <w:tabs>
          <w:tab w:val="num" w:pos="595"/>
        </w:tabs>
        <w:ind w:left="595" w:hanging="198"/>
      </w:pPr>
      <w:rPr>
        <w:rFonts w:ascii="Arial" w:hAnsi="Arial" w:cs="Times New Roman" w:hint="default"/>
      </w:rPr>
    </w:lvl>
    <w:lvl w:ilvl="3">
      <w:start w:val="1"/>
      <w:numFmt w:val="none"/>
      <w:lvlText w:val=""/>
      <w:lvlJc w:val="left"/>
      <w:pPr>
        <w:ind w:left="2880" w:hanging="360"/>
      </w:pPr>
      <w:rPr>
        <w:rFonts w:cs="Times New Roman"/>
      </w:rPr>
    </w:lvl>
    <w:lvl w:ilvl="4">
      <w:start w:val="1"/>
      <w:numFmt w:val="none"/>
      <w:lvlText w:val=""/>
      <w:lvlJc w:val="left"/>
      <w:pPr>
        <w:ind w:left="3600" w:hanging="360"/>
      </w:pPr>
      <w:rPr>
        <w:rFonts w:cs="Times New Roman"/>
      </w:rPr>
    </w:lvl>
    <w:lvl w:ilvl="5">
      <w:start w:val="1"/>
      <w:numFmt w:val="none"/>
      <w:lvlText w:val=""/>
      <w:lvlJc w:val="left"/>
      <w:pPr>
        <w:ind w:left="4320" w:hanging="360"/>
      </w:pPr>
      <w:rPr>
        <w:rFonts w:cs="Times New Roman"/>
      </w:rPr>
    </w:lvl>
    <w:lvl w:ilvl="6">
      <w:start w:val="1"/>
      <w:numFmt w:val="none"/>
      <w:lvlText w:val=""/>
      <w:lvlJc w:val="left"/>
      <w:pPr>
        <w:ind w:left="5040" w:hanging="360"/>
      </w:pPr>
      <w:rPr>
        <w:rFonts w:cs="Times New Roman"/>
      </w:rPr>
    </w:lvl>
    <w:lvl w:ilvl="7">
      <w:start w:val="1"/>
      <w:numFmt w:val="none"/>
      <w:lvlText w:val=""/>
      <w:lvlJc w:val="left"/>
      <w:pPr>
        <w:ind w:left="5760" w:hanging="360"/>
      </w:pPr>
      <w:rPr>
        <w:rFonts w:cs="Times New Roman"/>
      </w:rPr>
    </w:lvl>
    <w:lvl w:ilvl="8">
      <w:start w:val="1"/>
      <w:numFmt w:val="none"/>
      <w:lvlText w:val=""/>
      <w:lvlJc w:val="left"/>
      <w:pPr>
        <w:ind w:left="6480" w:hanging="360"/>
      </w:pPr>
      <w:rPr>
        <w:rFonts w:cs="Times New Roman"/>
      </w:rPr>
    </w:lvl>
  </w:abstractNum>
  <w:abstractNum w:abstractNumId="61" w15:restartNumberingAfterBreak="0">
    <w:nsid w:val="42EA4FEF"/>
    <w:multiLevelType w:val="multilevel"/>
    <w:tmpl w:val="17987CBC"/>
    <w:styleLink w:val="JacobsTable2SmallNumberedList2"/>
    <w:lvl w:ilvl="0">
      <w:start w:val="1"/>
      <w:numFmt w:val="lowerLetter"/>
      <w:pStyle w:val="Table2smallletter"/>
      <w:lvlText w:val="%1)"/>
      <w:lvlJc w:val="left"/>
      <w:pPr>
        <w:tabs>
          <w:tab w:val="num" w:pos="567"/>
        </w:tabs>
        <w:ind w:left="567" w:hanging="284"/>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2" w15:restartNumberingAfterBreak="0">
    <w:nsid w:val="45E40773"/>
    <w:multiLevelType w:val="multilevel"/>
    <w:tmpl w:val="FB9885D0"/>
    <w:styleLink w:val="JacobsNumberedList22"/>
    <w:lvl w:ilvl="0">
      <w:start w:val="1"/>
      <w:numFmt w:val="lowerLetter"/>
      <w:pStyle w:val="Para2letter"/>
      <w:lvlText w:val="%1)"/>
      <w:lvlJc w:val="left"/>
      <w:pPr>
        <w:ind w:left="1276" w:hanging="4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4CF519C2"/>
    <w:multiLevelType w:val="hybridMultilevel"/>
    <w:tmpl w:val="176A820E"/>
    <w:lvl w:ilvl="0" w:tplc="CD34F016">
      <w:numFmt w:val="bullet"/>
      <w:lvlText w:val="-"/>
      <w:lvlJc w:val="left"/>
      <w:pPr>
        <w:ind w:left="720" w:hanging="360"/>
      </w:pPr>
      <w:rPr>
        <w:rFonts w:ascii="Jacobs Chronos" w:eastAsiaTheme="minorEastAsia" w:hAnsi="Jacobs Chronos" w:cs="Jacobs Chrono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ED5014D"/>
    <w:multiLevelType w:val="hybridMultilevel"/>
    <w:tmpl w:val="2D74187C"/>
    <w:lvl w:ilvl="0" w:tplc="D5FCC3BA">
      <w:start w:val="1"/>
      <w:numFmt w:val="bullet"/>
      <w:lvlText w:val=""/>
      <w:lvlJc w:val="left"/>
      <w:pPr>
        <w:tabs>
          <w:tab w:val="num" w:pos="720"/>
        </w:tabs>
        <w:ind w:left="720" w:hanging="360"/>
      </w:pPr>
      <w:rPr>
        <w:rFonts w:ascii="Wingdings" w:hAnsi="Wingdings" w:hint="default"/>
      </w:rPr>
    </w:lvl>
    <w:lvl w:ilvl="1" w:tplc="6FB622EA">
      <w:start w:val="39"/>
      <w:numFmt w:val="bullet"/>
      <w:lvlText w:val="−"/>
      <w:lvlJc w:val="left"/>
      <w:pPr>
        <w:tabs>
          <w:tab w:val="num" w:pos="1440"/>
        </w:tabs>
        <w:ind w:left="1440" w:hanging="360"/>
      </w:pPr>
      <w:rPr>
        <w:rFonts w:ascii="Jacobs Chronos" w:hAnsi="Jacobs Chronos" w:hint="default"/>
      </w:rPr>
    </w:lvl>
    <w:lvl w:ilvl="2" w:tplc="BCC669B0" w:tentative="1">
      <w:start w:val="1"/>
      <w:numFmt w:val="bullet"/>
      <w:lvlText w:val=""/>
      <w:lvlJc w:val="left"/>
      <w:pPr>
        <w:tabs>
          <w:tab w:val="num" w:pos="2160"/>
        </w:tabs>
        <w:ind w:left="2160" w:hanging="360"/>
      </w:pPr>
      <w:rPr>
        <w:rFonts w:ascii="Wingdings" w:hAnsi="Wingdings" w:hint="default"/>
      </w:rPr>
    </w:lvl>
    <w:lvl w:ilvl="3" w:tplc="0966D93C" w:tentative="1">
      <w:start w:val="1"/>
      <w:numFmt w:val="bullet"/>
      <w:lvlText w:val=""/>
      <w:lvlJc w:val="left"/>
      <w:pPr>
        <w:tabs>
          <w:tab w:val="num" w:pos="2880"/>
        </w:tabs>
        <w:ind w:left="2880" w:hanging="360"/>
      </w:pPr>
      <w:rPr>
        <w:rFonts w:ascii="Wingdings" w:hAnsi="Wingdings" w:hint="default"/>
      </w:rPr>
    </w:lvl>
    <w:lvl w:ilvl="4" w:tplc="87E84A12" w:tentative="1">
      <w:start w:val="1"/>
      <w:numFmt w:val="bullet"/>
      <w:lvlText w:val=""/>
      <w:lvlJc w:val="left"/>
      <w:pPr>
        <w:tabs>
          <w:tab w:val="num" w:pos="3600"/>
        </w:tabs>
        <w:ind w:left="3600" w:hanging="360"/>
      </w:pPr>
      <w:rPr>
        <w:rFonts w:ascii="Wingdings" w:hAnsi="Wingdings" w:hint="default"/>
      </w:rPr>
    </w:lvl>
    <w:lvl w:ilvl="5" w:tplc="F5C2A506" w:tentative="1">
      <w:start w:val="1"/>
      <w:numFmt w:val="bullet"/>
      <w:lvlText w:val=""/>
      <w:lvlJc w:val="left"/>
      <w:pPr>
        <w:tabs>
          <w:tab w:val="num" w:pos="4320"/>
        </w:tabs>
        <w:ind w:left="4320" w:hanging="360"/>
      </w:pPr>
      <w:rPr>
        <w:rFonts w:ascii="Wingdings" w:hAnsi="Wingdings" w:hint="default"/>
      </w:rPr>
    </w:lvl>
    <w:lvl w:ilvl="6" w:tplc="534A9B58" w:tentative="1">
      <w:start w:val="1"/>
      <w:numFmt w:val="bullet"/>
      <w:lvlText w:val=""/>
      <w:lvlJc w:val="left"/>
      <w:pPr>
        <w:tabs>
          <w:tab w:val="num" w:pos="5040"/>
        </w:tabs>
        <w:ind w:left="5040" w:hanging="360"/>
      </w:pPr>
      <w:rPr>
        <w:rFonts w:ascii="Wingdings" w:hAnsi="Wingdings" w:hint="default"/>
      </w:rPr>
    </w:lvl>
    <w:lvl w:ilvl="7" w:tplc="F50082B0" w:tentative="1">
      <w:start w:val="1"/>
      <w:numFmt w:val="bullet"/>
      <w:lvlText w:val=""/>
      <w:lvlJc w:val="left"/>
      <w:pPr>
        <w:tabs>
          <w:tab w:val="num" w:pos="5760"/>
        </w:tabs>
        <w:ind w:left="5760" w:hanging="360"/>
      </w:pPr>
      <w:rPr>
        <w:rFonts w:ascii="Wingdings" w:hAnsi="Wingdings" w:hint="default"/>
      </w:rPr>
    </w:lvl>
    <w:lvl w:ilvl="8" w:tplc="FD821D94"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FA23504"/>
    <w:multiLevelType w:val="multilevel"/>
    <w:tmpl w:val="1AD8488E"/>
    <w:lvl w:ilvl="0">
      <w:start w:val="1"/>
      <w:numFmt w:val="lowerRoman"/>
      <w:pStyle w:val="Para4roman"/>
      <w:lvlText w:val="%1."/>
      <w:lvlJc w:val="left"/>
      <w:pPr>
        <w:ind w:left="2126"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500B00BE"/>
    <w:multiLevelType w:val="hybridMultilevel"/>
    <w:tmpl w:val="428A17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4311BB7"/>
    <w:multiLevelType w:val="multilevel"/>
    <w:tmpl w:val="55E0FFD2"/>
    <w:styleLink w:val="JacobsNumberedList33"/>
    <w:lvl w:ilvl="0">
      <w:start w:val="1"/>
      <w:numFmt w:val="lowerRoman"/>
      <w:lvlText w:val="%1."/>
      <w:lvlJc w:val="right"/>
      <w:pPr>
        <w:ind w:left="1673" w:hanging="31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5A792AFE"/>
    <w:multiLevelType w:val="hybridMultilevel"/>
    <w:tmpl w:val="752E04A4"/>
    <w:lvl w:ilvl="0" w:tplc="B8FAD87A">
      <w:numFmt w:val="bullet"/>
      <w:lvlText w:val="-"/>
      <w:lvlJc w:val="left"/>
      <w:pPr>
        <w:ind w:left="720" w:hanging="360"/>
      </w:pPr>
      <w:rPr>
        <w:rFonts w:ascii="Jacobs Chronos" w:eastAsiaTheme="minorEastAsia" w:hAnsi="Jacobs Chronos" w:cs="Jacobs Chronos"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C7C4E77"/>
    <w:multiLevelType w:val="multilevel"/>
    <w:tmpl w:val="861C450A"/>
    <w:lvl w:ilvl="0">
      <w:start w:val="1"/>
      <w:numFmt w:val="decimal"/>
      <w:pStyle w:val="Heading1"/>
      <w:lvlText w:val="%1."/>
      <w:lvlJc w:val="left"/>
      <w:pPr>
        <w:ind w:left="360" w:hanging="360"/>
      </w:pPr>
      <w:rPr>
        <w:rFonts w:ascii="Jacobs Chronos" w:hAnsi="Jacobs Chronos" w:cs="Jacobs Chronos" w:hint="default"/>
        <w:b/>
        <w:bCs/>
        <w:i w:val="0"/>
        <w:iCs w:val="0"/>
        <w:color w:val="auto"/>
        <w:sz w:val="32"/>
        <w:szCs w:val="3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Jacobs Chronos" w:hAnsi="Jacobs Chronos" w:cs="Jacobs Chronos" w:hint="default"/>
        <w:b/>
        <w:i w:val="0"/>
        <w:sz w:val="20"/>
      </w:rPr>
    </w:lvl>
    <w:lvl w:ilvl="6">
      <w:numFmt w:val="decimal"/>
      <w:pStyle w:val="Heading7"/>
      <w:lvlText w:val="%1.%2.%3.%4.%5.%6.%7"/>
      <w:lvlJc w:val="left"/>
      <w:pPr>
        <w:ind w:left="851" w:hanging="851"/>
      </w:pPr>
      <w:rPr>
        <w:rFonts w:ascii="Jacobs Chronos Light" w:hAnsi="Jacobs Chronos Light" w:cs="Jacobs Chronos Light" w:hint="default"/>
        <w:b/>
        <w:i w:val="0"/>
        <w:sz w:val="20"/>
      </w:rPr>
    </w:lvl>
    <w:lvl w:ilvl="7">
      <w:numFmt w:val="decimal"/>
      <w:pStyle w:val="Heading8"/>
      <w:lvlText w:val="%1.%2.%3.%4.%5.%6.%8"/>
      <w:lvlJc w:val="left"/>
      <w:pPr>
        <w:ind w:left="851" w:hanging="851"/>
      </w:pPr>
      <w:rPr>
        <w:rFonts w:ascii="Jacobs Chronos Light" w:hAnsi="Jacobs Chronos Light" w:cs="Jacobs Chronos Light" w:hint="default"/>
        <w:b/>
        <w:i w:val="0"/>
        <w:sz w:val="20"/>
      </w:rPr>
    </w:lvl>
    <w:lvl w:ilvl="8">
      <w:numFmt w:val="none"/>
      <w:lvlRestart w:val="0"/>
      <w:suff w:val="nothing"/>
      <w:lvlText w:val=""/>
      <w:lvlJc w:val="left"/>
      <w:pPr>
        <w:ind w:left="-32767" w:firstLine="0"/>
      </w:pPr>
      <w:rPr>
        <w:rFonts w:hint="default"/>
      </w:rPr>
    </w:lvl>
  </w:abstractNum>
  <w:abstractNum w:abstractNumId="70" w15:restartNumberingAfterBreak="0">
    <w:nsid w:val="5C893E28"/>
    <w:multiLevelType w:val="multilevel"/>
    <w:tmpl w:val="BFBAF5F2"/>
    <w:styleLink w:val="JacobsNumberedList34"/>
    <w:lvl w:ilvl="0">
      <w:start w:val="1"/>
      <w:numFmt w:val="lowerRoman"/>
      <w:lvlText w:val="%1."/>
      <w:lvlJc w:val="left"/>
      <w:pPr>
        <w:ind w:left="2155"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5C9B73AC"/>
    <w:multiLevelType w:val="multilevel"/>
    <w:tmpl w:val="A142CAA2"/>
    <w:styleLink w:val="JacobsTableNumberedList1"/>
    <w:lvl w:ilvl="0">
      <w:start w:val="1"/>
      <w:numFmt w:val="decimal"/>
      <w:pStyle w:val="Tablenumber"/>
      <w:lvlText w:val="%1)"/>
      <w:lvlJc w:val="left"/>
      <w:pPr>
        <w:ind w:left="283" w:hanging="283"/>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72" w15:restartNumberingAfterBreak="0">
    <w:nsid w:val="5EFA5C03"/>
    <w:multiLevelType w:val="hybridMultilevel"/>
    <w:tmpl w:val="57968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12D52D1"/>
    <w:multiLevelType w:val="singleLevel"/>
    <w:tmpl w:val="B2329E56"/>
    <w:lvl w:ilvl="0">
      <w:start w:val="1"/>
      <w:numFmt w:val="decimal"/>
      <w:pStyle w:val="Para2number"/>
      <w:lvlText w:val="%1)"/>
      <w:lvlJc w:val="left"/>
      <w:pPr>
        <w:ind w:left="1276" w:hanging="426"/>
      </w:pPr>
      <w:rPr>
        <w:rFonts w:ascii="Jacobs Chronos" w:hAnsi="Jacobs Chronos" w:cs="Jacobs Chronos" w:hint="default"/>
        <w:b w:val="0"/>
        <w:i w:val="0"/>
        <w:color w:val="auto"/>
        <w:sz w:val="20"/>
      </w:rPr>
    </w:lvl>
  </w:abstractNum>
  <w:abstractNum w:abstractNumId="74" w15:restartNumberingAfterBreak="0">
    <w:nsid w:val="633D6386"/>
    <w:multiLevelType w:val="multilevel"/>
    <w:tmpl w:val="E362DF46"/>
    <w:lvl w:ilvl="0">
      <w:start w:val="1"/>
      <w:numFmt w:val="upperLetter"/>
      <w:pStyle w:val="Heading9"/>
      <w:suff w:val="space"/>
      <w:lvlText w:val="Appendix %1."/>
      <w:lvlJc w:val="left"/>
      <w:pPr>
        <w:ind w:left="360" w:hanging="360"/>
      </w:pPr>
      <w:rPr>
        <w:rFonts w:ascii="Jacobs Chronos" w:hAnsi="Jacobs Chronos" w:cs="Jacobs Chronos" w:hint="default"/>
        <w:b/>
        <w:i w:val="0"/>
        <w:sz w:val="32"/>
      </w:rPr>
    </w:lvl>
    <w:lvl w:ilvl="1">
      <w:start w:val="1"/>
      <w:numFmt w:val="decimal"/>
      <w:pStyle w:val="Appendixsubheading1"/>
      <w:lvlText w:val="%1.%2"/>
      <w:lvlJc w:val="left"/>
      <w:pPr>
        <w:ind w:left="851" w:hanging="851"/>
      </w:pPr>
      <w:rPr>
        <w:rFonts w:ascii="Jacobs Chronos" w:hAnsi="Jacobs Chronos" w:cs="Jacobs Chronos" w:hint="default"/>
        <w:b/>
        <w:i w:val="0"/>
        <w:sz w:val="24"/>
      </w:rPr>
    </w:lvl>
    <w:lvl w:ilvl="2">
      <w:start w:val="1"/>
      <w:numFmt w:val="decimal"/>
      <w:pStyle w:val="Appendixsubheading2"/>
      <w:lvlText w:val="%1.%2.%3"/>
      <w:lvlJc w:val="left"/>
      <w:pPr>
        <w:ind w:left="851" w:hanging="851"/>
      </w:pPr>
      <w:rPr>
        <w:rFonts w:ascii="Jacobs Chronos" w:hAnsi="Jacobs Chronos" w:cs="Jacobs Chronos" w:hint="default"/>
        <w:b/>
        <w:i w:val="0"/>
        <w:sz w:val="20"/>
      </w:rPr>
    </w:lvl>
    <w:lvl w:ilvl="3">
      <w:start w:val="1"/>
      <w:numFmt w:val="decimal"/>
      <w:pStyle w:val="Appendixsubheading3"/>
      <w:lvlText w:val="%1.%2.%3.%4"/>
      <w:lvlJc w:val="left"/>
      <w:pPr>
        <w:ind w:left="851" w:hanging="851"/>
      </w:pPr>
      <w:rPr>
        <w:rFonts w:ascii="Jacobs Chronos" w:hAnsi="Jacobs Chronos" w:cs="Jacobs Chronos" w:hint="default"/>
        <w:b/>
        <w:i w:val="0"/>
        <w:sz w:val="20"/>
      </w:rPr>
    </w:lvl>
    <w:lvl w:ilvl="4">
      <w:numFmt w:val="none"/>
      <w:lvlRestart w:val="0"/>
      <w:suff w:val="nothing"/>
      <w:lvlText w:val=""/>
      <w:lvlJc w:val="left"/>
      <w:pPr>
        <w:ind w:left="-32767" w:firstLine="32767"/>
      </w:pPr>
      <w:rPr>
        <w:rFonts w:ascii="Jacobs Chronos Light" w:hAnsi="Jacobs Chronos Light" w:cs="Jacobs Chronos Light"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75" w15:restartNumberingAfterBreak="0">
    <w:nsid w:val="63F74075"/>
    <w:multiLevelType w:val="multilevel"/>
    <w:tmpl w:val="07F8362A"/>
    <w:styleLink w:val="JacobsTable2List1"/>
    <w:lvl w:ilvl="0">
      <w:start w:val="1"/>
      <w:numFmt w:val="bullet"/>
      <w:pStyle w:val="Table2bullet"/>
      <w:lvlText w:val="§"/>
      <w:lvlJc w:val="left"/>
      <w:pPr>
        <w:tabs>
          <w:tab w:val="num" w:pos="567"/>
        </w:tabs>
        <w:ind w:left="567" w:hanging="283"/>
      </w:pPr>
      <w:rPr>
        <w:rFonts w:ascii="Wingdings" w:hAnsi="Wingdings" w:hint="default"/>
        <w:color w:val="auto"/>
      </w:rPr>
    </w:lvl>
    <w:lvl w:ilvl="1">
      <w:start w:val="1"/>
      <w:numFmt w:val="none"/>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6" w15:restartNumberingAfterBreak="0">
    <w:nsid w:val="66FC26A6"/>
    <w:multiLevelType w:val="multilevel"/>
    <w:tmpl w:val="AAE0FFF2"/>
    <w:styleLink w:val="JacobsNumberedList31"/>
    <w:lvl w:ilvl="0">
      <w:start w:val="1"/>
      <w:numFmt w:val="lowerRoman"/>
      <w:lvlText w:val="%1."/>
      <w:lvlJc w:val="left"/>
      <w:pPr>
        <w:ind w:left="425" w:hanging="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A242EBF"/>
    <w:multiLevelType w:val="multilevel"/>
    <w:tmpl w:val="80ACB8AE"/>
    <w:styleLink w:val="JacobsTable2NumberdList2"/>
    <w:lvl w:ilvl="0">
      <w:start w:val="1"/>
      <w:numFmt w:val="lowerLetter"/>
      <w:pStyle w:val="Table2letter"/>
      <w:lvlText w:val="%1)"/>
      <w:lvlJc w:val="left"/>
      <w:pPr>
        <w:tabs>
          <w:tab w:val="num" w:pos="567"/>
        </w:tabs>
        <w:ind w:left="567" w:hanging="283"/>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8" w15:restartNumberingAfterBreak="0">
    <w:nsid w:val="6C571012"/>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6C8D1E75"/>
    <w:multiLevelType w:val="hybridMultilevel"/>
    <w:tmpl w:val="3F702F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0" w15:restartNumberingAfterBreak="0">
    <w:nsid w:val="6F7D6216"/>
    <w:multiLevelType w:val="multilevel"/>
    <w:tmpl w:val="F3E2DA6E"/>
    <w:styleLink w:val="JacobsSmallTableList1"/>
    <w:lvl w:ilvl="0">
      <w:start w:val="1"/>
      <w:numFmt w:val="bullet"/>
      <w:pStyle w:val="Tablesmallbullet"/>
      <w:lvlText w:val="§"/>
      <w:lvlJc w:val="left"/>
      <w:pPr>
        <w:ind w:left="284" w:hanging="284"/>
      </w:pPr>
      <w:rPr>
        <w:rFonts w:ascii="Wingdings" w:hAnsi="Wingdings"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81" w15:restartNumberingAfterBreak="0">
    <w:nsid w:val="716A426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733B6855"/>
    <w:multiLevelType w:val="hybridMultilevel"/>
    <w:tmpl w:val="68F296FE"/>
    <w:lvl w:ilvl="0" w:tplc="CA3E4538">
      <w:start w:val="1"/>
      <w:numFmt w:val="bullet"/>
      <w:pStyle w:val="ContentBulletsRound"/>
      <w:lvlText w:val=""/>
      <w:lvlJc w:val="left"/>
      <w:pPr>
        <w:ind w:left="1418" w:hanging="851"/>
      </w:pPr>
      <w:rPr>
        <w:rFonts w:ascii="Symbol" w:hAnsi="Symbol" w:hint="default"/>
      </w:rPr>
    </w:lvl>
    <w:lvl w:ilvl="1" w:tplc="FDA8B1F8" w:tentative="1">
      <w:start w:val="1"/>
      <w:numFmt w:val="bullet"/>
      <w:lvlText w:val="o"/>
      <w:lvlJc w:val="left"/>
      <w:pPr>
        <w:ind w:left="1440" w:hanging="360"/>
      </w:pPr>
      <w:rPr>
        <w:rFonts w:ascii="Courier New" w:hAnsi="Courier New" w:hint="default"/>
      </w:rPr>
    </w:lvl>
    <w:lvl w:ilvl="2" w:tplc="1A6265B6" w:tentative="1">
      <w:start w:val="1"/>
      <w:numFmt w:val="bullet"/>
      <w:lvlText w:val=""/>
      <w:lvlJc w:val="left"/>
      <w:pPr>
        <w:ind w:left="2160" w:hanging="360"/>
      </w:pPr>
      <w:rPr>
        <w:rFonts w:ascii="Wingdings" w:hAnsi="Wingdings" w:hint="default"/>
      </w:rPr>
    </w:lvl>
    <w:lvl w:ilvl="3" w:tplc="8FF64460" w:tentative="1">
      <w:start w:val="1"/>
      <w:numFmt w:val="bullet"/>
      <w:lvlText w:val=""/>
      <w:lvlJc w:val="left"/>
      <w:pPr>
        <w:ind w:left="2880" w:hanging="360"/>
      </w:pPr>
      <w:rPr>
        <w:rFonts w:ascii="Symbol" w:hAnsi="Symbol" w:hint="default"/>
      </w:rPr>
    </w:lvl>
    <w:lvl w:ilvl="4" w:tplc="7C30A48C" w:tentative="1">
      <w:start w:val="1"/>
      <w:numFmt w:val="bullet"/>
      <w:lvlText w:val="o"/>
      <w:lvlJc w:val="left"/>
      <w:pPr>
        <w:ind w:left="3600" w:hanging="360"/>
      </w:pPr>
      <w:rPr>
        <w:rFonts w:ascii="Courier New" w:hAnsi="Courier New" w:hint="default"/>
      </w:rPr>
    </w:lvl>
    <w:lvl w:ilvl="5" w:tplc="2A463226" w:tentative="1">
      <w:start w:val="1"/>
      <w:numFmt w:val="bullet"/>
      <w:lvlText w:val=""/>
      <w:lvlJc w:val="left"/>
      <w:pPr>
        <w:ind w:left="4320" w:hanging="360"/>
      </w:pPr>
      <w:rPr>
        <w:rFonts w:ascii="Wingdings" w:hAnsi="Wingdings" w:hint="default"/>
      </w:rPr>
    </w:lvl>
    <w:lvl w:ilvl="6" w:tplc="284E93BE" w:tentative="1">
      <w:start w:val="1"/>
      <w:numFmt w:val="bullet"/>
      <w:lvlText w:val=""/>
      <w:lvlJc w:val="left"/>
      <w:pPr>
        <w:ind w:left="5040" w:hanging="360"/>
      </w:pPr>
      <w:rPr>
        <w:rFonts w:ascii="Symbol" w:hAnsi="Symbol" w:hint="default"/>
      </w:rPr>
    </w:lvl>
    <w:lvl w:ilvl="7" w:tplc="56F436C0" w:tentative="1">
      <w:start w:val="1"/>
      <w:numFmt w:val="bullet"/>
      <w:lvlText w:val="o"/>
      <w:lvlJc w:val="left"/>
      <w:pPr>
        <w:ind w:left="5760" w:hanging="360"/>
      </w:pPr>
      <w:rPr>
        <w:rFonts w:ascii="Courier New" w:hAnsi="Courier New" w:hint="default"/>
      </w:rPr>
    </w:lvl>
    <w:lvl w:ilvl="8" w:tplc="BABC7322" w:tentative="1">
      <w:start w:val="1"/>
      <w:numFmt w:val="bullet"/>
      <w:lvlText w:val=""/>
      <w:lvlJc w:val="left"/>
      <w:pPr>
        <w:ind w:left="6480" w:hanging="360"/>
      </w:pPr>
      <w:rPr>
        <w:rFonts w:ascii="Wingdings" w:hAnsi="Wingdings" w:hint="default"/>
      </w:rPr>
    </w:lvl>
  </w:abstractNum>
  <w:abstractNum w:abstractNumId="83" w15:restartNumberingAfterBreak="0">
    <w:nsid w:val="742E520D"/>
    <w:multiLevelType w:val="hybridMultilevel"/>
    <w:tmpl w:val="0F0A6F58"/>
    <w:lvl w:ilvl="0" w:tplc="13E0E04C">
      <w:start w:val="1"/>
      <w:numFmt w:val="bullet"/>
      <w:lvlText w:val=""/>
      <w:lvlJc w:val="left"/>
      <w:pPr>
        <w:tabs>
          <w:tab w:val="num" w:pos="720"/>
        </w:tabs>
        <w:ind w:left="720" w:hanging="360"/>
      </w:pPr>
      <w:rPr>
        <w:rFonts w:ascii="Wingdings" w:hAnsi="Wingdings" w:hint="default"/>
      </w:rPr>
    </w:lvl>
    <w:lvl w:ilvl="1" w:tplc="4650CE9C" w:tentative="1">
      <w:start w:val="1"/>
      <w:numFmt w:val="bullet"/>
      <w:lvlText w:val=""/>
      <w:lvlJc w:val="left"/>
      <w:pPr>
        <w:tabs>
          <w:tab w:val="num" w:pos="1440"/>
        </w:tabs>
        <w:ind w:left="1440" w:hanging="360"/>
      </w:pPr>
      <w:rPr>
        <w:rFonts w:ascii="Wingdings" w:hAnsi="Wingdings" w:hint="default"/>
      </w:rPr>
    </w:lvl>
    <w:lvl w:ilvl="2" w:tplc="EFB22CE6" w:tentative="1">
      <w:start w:val="1"/>
      <w:numFmt w:val="bullet"/>
      <w:lvlText w:val=""/>
      <w:lvlJc w:val="left"/>
      <w:pPr>
        <w:tabs>
          <w:tab w:val="num" w:pos="2160"/>
        </w:tabs>
        <w:ind w:left="2160" w:hanging="360"/>
      </w:pPr>
      <w:rPr>
        <w:rFonts w:ascii="Wingdings" w:hAnsi="Wingdings" w:hint="default"/>
      </w:rPr>
    </w:lvl>
    <w:lvl w:ilvl="3" w:tplc="C2D8627C" w:tentative="1">
      <w:start w:val="1"/>
      <w:numFmt w:val="bullet"/>
      <w:lvlText w:val=""/>
      <w:lvlJc w:val="left"/>
      <w:pPr>
        <w:tabs>
          <w:tab w:val="num" w:pos="2880"/>
        </w:tabs>
        <w:ind w:left="2880" w:hanging="360"/>
      </w:pPr>
      <w:rPr>
        <w:rFonts w:ascii="Wingdings" w:hAnsi="Wingdings" w:hint="default"/>
      </w:rPr>
    </w:lvl>
    <w:lvl w:ilvl="4" w:tplc="CDF49CE8" w:tentative="1">
      <w:start w:val="1"/>
      <w:numFmt w:val="bullet"/>
      <w:lvlText w:val=""/>
      <w:lvlJc w:val="left"/>
      <w:pPr>
        <w:tabs>
          <w:tab w:val="num" w:pos="3600"/>
        </w:tabs>
        <w:ind w:left="3600" w:hanging="360"/>
      </w:pPr>
      <w:rPr>
        <w:rFonts w:ascii="Wingdings" w:hAnsi="Wingdings" w:hint="default"/>
      </w:rPr>
    </w:lvl>
    <w:lvl w:ilvl="5" w:tplc="0956860E" w:tentative="1">
      <w:start w:val="1"/>
      <w:numFmt w:val="bullet"/>
      <w:lvlText w:val=""/>
      <w:lvlJc w:val="left"/>
      <w:pPr>
        <w:tabs>
          <w:tab w:val="num" w:pos="4320"/>
        </w:tabs>
        <w:ind w:left="4320" w:hanging="360"/>
      </w:pPr>
      <w:rPr>
        <w:rFonts w:ascii="Wingdings" w:hAnsi="Wingdings" w:hint="default"/>
      </w:rPr>
    </w:lvl>
    <w:lvl w:ilvl="6" w:tplc="4AE2435E" w:tentative="1">
      <w:start w:val="1"/>
      <w:numFmt w:val="bullet"/>
      <w:lvlText w:val=""/>
      <w:lvlJc w:val="left"/>
      <w:pPr>
        <w:tabs>
          <w:tab w:val="num" w:pos="5040"/>
        </w:tabs>
        <w:ind w:left="5040" w:hanging="360"/>
      </w:pPr>
      <w:rPr>
        <w:rFonts w:ascii="Wingdings" w:hAnsi="Wingdings" w:hint="default"/>
      </w:rPr>
    </w:lvl>
    <w:lvl w:ilvl="7" w:tplc="BE5EC32C" w:tentative="1">
      <w:start w:val="1"/>
      <w:numFmt w:val="bullet"/>
      <w:lvlText w:val=""/>
      <w:lvlJc w:val="left"/>
      <w:pPr>
        <w:tabs>
          <w:tab w:val="num" w:pos="5760"/>
        </w:tabs>
        <w:ind w:left="5760" w:hanging="360"/>
      </w:pPr>
      <w:rPr>
        <w:rFonts w:ascii="Wingdings" w:hAnsi="Wingdings" w:hint="default"/>
      </w:rPr>
    </w:lvl>
    <w:lvl w:ilvl="8" w:tplc="0FF0CA50"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43C77E5"/>
    <w:multiLevelType w:val="hybridMultilevel"/>
    <w:tmpl w:val="DEC81F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587004A"/>
    <w:multiLevelType w:val="multilevel"/>
    <w:tmpl w:val="07F8362A"/>
    <w:numStyleLink w:val="JacobsTable2List1"/>
  </w:abstractNum>
  <w:abstractNum w:abstractNumId="86" w15:restartNumberingAfterBreak="0">
    <w:nsid w:val="791A299C"/>
    <w:multiLevelType w:val="hybridMultilevel"/>
    <w:tmpl w:val="DD6C3CA2"/>
    <w:lvl w:ilvl="0" w:tplc="9F10D3B8">
      <w:start w:val="1"/>
      <w:numFmt w:val="bullet"/>
      <w:lvlText w:val=""/>
      <w:lvlJc w:val="left"/>
      <w:pPr>
        <w:tabs>
          <w:tab w:val="num" w:pos="720"/>
        </w:tabs>
        <w:ind w:left="720" w:hanging="360"/>
      </w:pPr>
      <w:rPr>
        <w:rFonts w:ascii="Wingdings" w:hAnsi="Wingdings" w:hint="default"/>
      </w:rPr>
    </w:lvl>
    <w:lvl w:ilvl="1" w:tplc="C1A2EA0E" w:tentative="1">
      <w:start w:val="1"/>
      <w:numFmt w:val="bullet"/>
      <w:lvlText w:val=""/>
      <w:lvlJc w:val="left"/>
      <w:pPr>
        <w:tabs>
          <w:tab w:val="num" w:pos="1440"/>
        </w:tabs>
        <w:ind w:left="1440" w:hanging="360"/>
      </w:pPr>
      <w:rPr>
        <w:rFonts w:ascii="Wingdings" w:hAnsi="Wingdings" w:hint="default"/>
      </w:rPr>
    </w:lvl>
    <w:lvl w:ilvl="2" w:tplc="C8620E50" w:tentative="1">
      <w:start w:val="1"/>
      <w:numFmt w:val="bullet"/>
      <w:lvlText w:val=""/>
      <w:lvlJc w:val="left"/>
      <w:pPr>
        <w:tabs>
          <w:tab w:val="num" w:pos="2160"/>
        </w:tabs>
        <w:ind w:left="2160" w:hanging="360"/>
      </w:pPr>
      <w:rPr>
        <w:rFonts w:ascii="Wingdings" w:hAnsi="Wingdings" w:hint="default"/>
      </w:rPr>
    </w:lvl>
    <w:lvl w:ilvl="3" w:tplc="7F96246C" w:tentative="1">
      <w:start w:val="1"/>
      <w:numFmt w:val="bullet"/>
      <w:lvlText w:val=""/>
      <w:lvlJc w:val="left"/>
      <w:pPr>
        <w:tabs>
          <w:tab w:val="num" w:pos="2880"/>
        </w:tabs>
        <w:ind w:left="2880" w:hanging="360"/>
      </w:pPr>
      <w:rPr>
        <w:rFonts w:ascii="Wingdings" w:hAnsi="Wingdings" w:hint="default"/>
      </w:rPr>
    </w:lvl>
    <w:lvl w:ilvl="4" w:tplc="D07E0820" w:tentative="1">
      <w:start w:val="1"/>
      <w:numFmt w:val="bullet"/>
      <w:lvlText w:val=""/>
      <w:lvlJc w:val="left"/>
      <w:pPr>
        <w:tabs>
          <w:tab w:val="num" w:pos="3600"/>
        </w:tabs>
        <w:ind w:left="3600" w:hanging="360"/>
      </w:pPr>
      <w:rPr>
        <w:rFonts w:ascii="Wingdings" w:hAnsi="Wingdings" w:hint="default"/>
      </w:rPr>
    </w:lvl>
    <w:lvl w:ilvl="5" w:tplc="19345206" w:tentative="1">
      <w:start w:val="1"/>
      <w:numFmt w:val="bullet"/>
      <w:lvlText w:val=""/>
      <w:lvlJc w:val="left"/>
      <w:pPr>
        <w:tabs>
          <w:tab w:val="num" w:pos="4320"/>
        </w:tabs>
        <w:ind w:left="4320" w:hanging="360"/>
      </w:pPr>
      <w:rPr>
        <w:rFonts w:ascii="Wingdings" w:hAnsi="Wingdings" w:hint="default"/>
      </w:rPr>
    </w:lvl>
    <w:lvl w:ilvl="6" w:tplc="0DB40954" w:tentative="1">
      <w:start w:val="1"/>
      <w:numFmt w:val="bullet"/>
      <w:lvlText w:val=""/>
      <w:lvlJc w:val="left"/>
      <w:pPr>
        <w:tabs>
          <w:tab w:val="num" w:pos="5040"/>
        </w:tabs>
        <w:ind w:left="5040" w:hanging="360"/>
      </w:pPr>
      <w:rPr>
        <w:rFonts w:ascii="Wingdings" w:hAnsi="Wingdings" w:hint="default"/>
      </w:rPr>
    </w:lvl>
    <w:lvl w:ilvl="7" w:tplc="2E862F22" w:tentative="1">
      <w:start w:val="1"/>
      <w:numFmt w:val="bullet"/>
      <w:lvlText w:val=""/>
      <w:lvlJc w:val="left"/>
      <w:pPr>
        <w:tabs>
          <w:tab w:val="num" w:pos="5760"/>
        </w:tabs>
        <w:ind w:left="5760" w:hanging="360"/>
      </w:pPr>
      <w:rPr>
        <w:rFonts w:ascii="Wingdings" w:hAnsi="Wingdings" w:hint="default"/>
      </w:rPr>
    </w:lvl>
    <w:lvl w:ilvl="8" w:tplc="AF1EAA9C"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F0B2D9E"/>
    <w:multiLevelType w:val="hybridMultilevel"/>
    <w:tmpl w:val="87EABEA4"/>
    <w:lvl w:ilvl="0" w:tplc="1AC41C28">
      <w:start w:val="1"/>
      <w:numFmt w:val="bullet"/>
      <w:lvlText w:val="•"/>
      <w:lvlJc w:val="left"/>
      <w:pPr>
        <w:tabs>
          <w:tab w:val="num" w:pos="720"/>
        </w:tabs>
        <w:ind w:left="720" w:hanging="360"/>
      </w:pPr>
      <w:rPr>
        <w:rFonts w:ascii="Arial" w:hAnsi="Arial" w:hint="default"/>
      </w:rPr>
    </w:lvl>
    <w:lvl w:ilvl="1" w:tplc="8EDE8510" w:tentative="1">
      <w:start w:val="1"/>
      <w:numFmt w:val="bullet"/>
      <w:lvlText w:val="•"/>
      <w:lvlJc w:val="left"/>
      <w:pPr>
        <w:tabs>
          <w:tab w:val="num" w:pos="1440"/>
        </w:tabs>
        <w:ind w:left="1440" w:hanging="360"/>
      </w:pPr>
      <w:rPr>
        <w:rFonts w:ascii="Arial" w:hAnsi="Arial" w:hint="default"/>
      </w:rPr>
    </w:lvl>
    <w:lvl w:ilvl="2" w:tplc="511ADE24" w:tentative="1">
      <w:start w:val="1"/>
      <w:numFmt w:val="bullet"/>
      <w:lvlText w:val="•"/>
      <w:lvlJc w:val="left"/>
      <w:pPr>
        <w:tabs>
          <w:tab w:val="num" w:pos="2160"/>
        </w:tabs>
        <w:ind w:left="2160" w:hanging="360"/>
      </w:pPr>
      <w:rPr>
        <w:rFonts w:ascii="Arial" w:hAnsi="Arial" w:hint="default"/>
      </w:rPr>
    </w:lvl>
    <w:lvl w:ilvl="3" w:tplc="8FB0D338" w:tentative="1">
      <w:start w:val="1"/>
      <w:numFmt w:val="bullet"/>
      <w:lvlText w:val="•"/>
      <w:lvlJc w:val="left"/>
      <w:pPr>
        <w:tabs>
          <w:tab w:val="num" w:pos="2880"/>
        </w:tabs>
        <w:ind w:left="2880" w:hanging="360"/>
      </w:pPr>
      <w:rPr>
        <w:rFonts w:ascii="Arial" w:hAnsi="Arial" w:hint="default"/>
      </w:rPr>
    </w:lvl>
    <w:lvl w:ilvl="4" w:tplc="C15C757E" w:tentative="1">
      <w:start w:val="1"/>
      <w:numFmt w:val="bullet"/>
      <w:lvlText w:val="•"/>
      <w:lvlJc w:val="left"/>
      <w:pPr>
        <w:tabs>
          <w:tab w:val="num" w:pos="3600"/>
        </w:tabs>
        <w:ind w:left="3600" w:hanging="360"/>
      </w:pPr>
      <w:rPr>
        <w:rFonts w:ascii="Arial" w:hAnsi="Arial" w:hint="default"/>
      </w:rPr>
    </w:lvl>
    <w:lvl w:ilvl="5" w:tplc="F9EC6C2E" w:tentative="1">
      <w:start w:val="1"/>
      <w:numFmt w:val="bullet"/>
      <w:lvlText w:val="•"/>
      <w:lvlJc w:val="left"/>
      <w:pPr>
        <w:tabs>
          <w:tab w:val="num" w:pos="4320"/>
        </w:tabs>
        <w:ind w:left="4320" w:hanging="360"/>
      </w:pPr>
      <w:rPr>
        <w:rFonts w:ascii="Arial" w:hAnsi="Arial" w:hint="default"/>
      </w:rPr>
    </w:lvl>
    <w:lvl w:ilvl="6" w:tplc="B20AB0A0" w:tentative="1">
      <w:start w:val="1"/>
      <w:numFmt w:val="bullet"/>
      <w:lvlText w:val="•"/>
      <w:lvlJc w:val="left"/>
      <w:pPr>
        <w:tabs>
          <w:tab w:val="num" w:pos="5040"/>
        </w:tabs>
        <w:ind w:left="5040" w:hanging="360"/>
      </w:pPr>
      <w:rPr>
        <w:rFonts w:ascii="Arial" w:hAnsi="Arial" w:hint="default"/>
      </w:rPr>
    </w:lvl>
    <w:lvl w:ilvl="7" w:tplc="744AC888" w:tentative="1">
      <w:start w:val="1"/>
      <w:numFmt w:val="bullet"/>
      <w:lvlText w:val="•"/>
      <w:lvlJc w:val="left"/>
      <w:pPr>
        <w:tabs>
          <w:tab w:val="num" w:pos="5760"/>
        </w:tabs>
        <w:ind w:left="5760" w:hanging="360"/>
      </w:pPr>
      <w:rPr>
        <w:rFonts w:ascii="Arial" w:hAnsi="Arial" w:hint="default"/>
      </w:rPr>
    </w:lvl>
    <w:lvl w:ilvl="8" w:tplc="AD8077E6"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18"/>
  </w:num>
  <w:num w:numId="3">
    <w:abstractNumId w:val="40"/>
  </w:num>
  <w:num w:numId="4">
    <w:abstractNumId w:val="53"/>
  </w:num>
  <w:num w:numId="5">
    <w:abstractNumId w:val="48"/>
  </w:num>
  <w:num w:numId="6">
    <w:abstractNumId w:val="82"/>
  </w:num>
  <w:num w:numId="7">
    <w:abstractNumId w:val="69"/>
  </w:num>
  <w:num w:numId="8">
    <w:abstractNumId w:val="74"/>
  </w:num>
  <w:num w:numId="9">
    <w:abstractNumId w:val="42"/>
  </w:num>
  <w:num w:numId="10">
    <w:abstractNumId w:val="49"/>
  </w:num>
  <w:num w:numId="11">
    <w:abstractNumId w:val="34"/>
  </w:num>
  <w:num w:numId="12">
    <w:abstractNumId w:val="12"/>
  </w:num>
  <w:num w:numId="13">
    <w:abstractNumId w:val="16"/>
  </w:num>
  <w:num w:numId="14">
    <w:abstractNumId w:val="29"/>
  </w:num>
  <w:num w:numId="15">
    <w:abstractNumId w:val="55"/>
  </w:num>
  <w:num w:numId="16">
    <w:abstractNumId w:val="14"/>
  </w:num>
  <w:num w:numId="17">
    <w:abstractNumId w:val="51"/>
  </w:num>
  <w:num w:numId="18">
    <w:abstractNumId w:val="32"/>
  </w:num>
  <w:num w:numId="19">
    <w:abstractNumId w:val="80"/>
  </w:num>
  <w:num w:numId="20">
    <w:abstractNumId w:val="19"/>
  </w:num>
  <w:num w:numId="21">
    <w:abstractNumId w:val="26"/>
  </w:num>
  <w:num w:numId="22">
    <w:abstractNumId w:val="47"/>
  </w:num>
  <w:num w:numId="23">
    <w:abstractNumId w:val="27"/>
  </w:num>
  <w:num w:numId="24">
    <w:abstractNumId w:val="71"/>
  </w:num>
  <w:num w:numId="25">
    <w:abstractNumId w:val="20"/>
  </w:num>
  <w:num w:numId="26">
    <w:abstractNumId w:val="43"/>
  </w:num>
  <w:num w:numId="27">
    <w:abstractNumId w:val="31"/>
  </w:num>
  <w:num w:numId="28">
    <w:abstractNumId w:val="54"/>
  </w:num>
  <w:num w:numId="29">
    <w:abstractNumId w:val="15"/>
  </w:num>
  <w:num w:numId="30">
    <w:abstractNumId w:val="41"/>
  </w:num>
  <w:num w:numId="31">
    <w:abstractNumId w:val="62"/>
  </w:num>
  <w:num w:numId="32">
    <w:abstractNumId w:val="58"/>
  </w:num>
  <w:num w:numId="33">
    <w:abstractNumId w:val="76"/>
  </w:num>
  <w:num w:numId="34">
    <w:abstractNumId w:val="28"/>
  </w:num>
  <w:num w:numId="35">
    <w:abstractNumId w:val="67"/>
  </w:num>
  <w:num w:numId="36">
    <w:abstractNumId w:val="44"/>
  </w:num>
  <w:num w:numId="37">
    <w:abstractNumId w:val="30"/>
  </w:num>
  <w:num w:numId="38">
    <w:abstractNumId w:val="73"/>
  </w:num>
  <w:num w:numId="39">
    <w:abstractNumId w:val="9"/>
  </w:num>
  <w:num w:numId="40">
    <w:abstractNumId w:val="70"/>
  </w:num>
  <w:num w:numId="41">
    <w:abstractNumId w:val="65"/>
  </w:num>
  <w:num w:numId="42">
    <w:abstractNumId w:val="57"/>
  </w:num>
  <w:num w:numId="43">
    <w:abstractNumId w:val="38"/>
  </w:num>
  <w:num w:numId="44">
    <w:abstractNumId w:val="23"/>
  </w:num>
  <w:num w:numId="45">
    <w:abstractNumId w:val="75"/>
  </w:num>
  <w:num w:numId="46">
    <w:abstractNumId w:val="85"/>
  </w:num>
  <w:num w:numId="47">
    <w:abstractNumId w:val="46"/>
  </w:num>
  <w:num w:numId="48">
    <w:abstractNumId w:val="77"/>
  </w:num>
  <w:num w:numId="49">
    <w:abstractNumId w:val="22"/>
  </w:num>
  <w:num w:numId="50">
    <w:abstractNumId w:val="36"/>
  </w:num>
  <w:num w:numId="51">
    <w:abstractNumId w:val="37"/>
  </w:num>
  <w:num w:numId="52">
    <w:abstractNumId w:val="61"/>
  </w:num>
  <w:num w:numId="53">
    <w:abstractNumId w:val="25"/>
  </w:num>
  <w:num w:numId="54">
    <w:abstractNumId w:val="52"/>
  </w:num>
  <w:num w:numId="55">
    <w:abstractNumId w:val="59"/>
  </w:num>
  <w:num w:numId="56">
    <w:abstractNumId w:val="56"/>
  </w:num>
  <w:num w:numId="57">
    <w:abstractNumId w:val="21"/>
  </w:num>
  <w:num w:numId="58">
    <w:abstractNumId w:val="21"/>
  </w:num>
  <w:num w:numId="59">
    <w:abstractNumId w:val="81"/>
  </w:num>
  <w:num w:numId="60">
    <w:abstractNumId w:val="78"/>
  </w:num>
  <w:num w:numId="61">
    <w:abstractNumId w:val="45"/>
  </w:num>
  <w:num w:numId="62">
    <w:abstractNumId w:val="7"/>
  </w:num>
  <w:num w:numId="63">
    <w:abstractNumId w:val="6"/>
  </w:num>
  <w:num w:numId="64">
    <w:abstractNumId w:val="5"/>
  </w:num>
  <w:num w:numId="65">
    <w:abstractNumId w:val="4"/>
  </w:num>
  <w:num w:numId="66">
    <w:abstractNumId w:val="8"/>
  </w:num>
  <w:num w:numId="67">
    <w:abstractNumId w:val="3"/>
  </w:num>
  <w:num w:numId="68">
    <w:abstractNumId w:val="2"/>
  </w:num>
  <w:num w:numId="69">
    <w:abstractNumId w:val="1"/>
  </w:num>
  <w:num w:numId="70">
    <w:abstractNumId w:val="0"/>
  </w:num>
  <w:num w:numId="71">
    <w:abstractNumId w:val="11"/>
  </w:num>
  <w:num w:numId="72">
    <w:abstractNumId w:val="10"/>
  </w:num>
  <w:num w:numId="73">
    <w:abstractNumId w:val="33"/>
  </w:num>
  <w:num w:numId="74">
    <w:abstractNumId w:val="63"/>
  </w:num>
  <w:num w:numId="75">
    <w:abstractNumId w:val="66"/>
  </w:num>
  <w:num w:numId="76">
    <w:abstractNumId w:val="64"/>
  </w:num>
  <w:num w:numId="77">
    <w:abstractNumId w:val="50"/>
  </w:num>
  <w:num w:numId="78">
    <w:abstractNumId w:val="87"/>
  </w:num>
  <w:num w:numId="79">
    <w:abstractNumId w:val="83"/>
  </w:num>
  <w:num w:numId="80">
    <w:abstractNumId w:val="86"/>
  </w:num>
  <w:num w:numId="81">
    <w:abstractNumId w:val="13"/>
  </w:num>
  <w:num w:numId="82">
    <w:abstractNumId w:val="79"/>
  </w:num>
  <w:num w:numId="83">
    <w:abstractNumId w:val="84"/>
  </w:num>
  <w:num w:numId="84">
    <w:abstractNumId w:val="68"/>
  </w:num>
  <w:num w:numId="85">
    <w:abstractNumId w:val="24"/>
  </w:num>
  <w:num w:numId="86">
    <w:abstractNumId w:val="12"/>
  </w:num>
  <w:num w:numId="87">
    <w:abstractNumId w:val="12"/>
  </w:num>
  <w:num w:numId="88">
    <w:abstractNumId w:val="72"/>
  </w:num>
  <w:num w:numId="89">
    <w:abstractNumId w:val="12"/>
  </w:num>
  <w:num w:numId="90">
    <w:abstractNumId w:val="35"/>
  </w:num>
  <w:num w:numId="91">
    <w:abstractNumId w:val="39"/>
  </w:num>
  <w:num w:numId="92">
    <w:abstractNumId w:val="74"/>
  </w:num>
  <w:num w:numId="93">
    <w:abstractNumId w:val="60"/>
  </w:num>
  <w:num w:numId="94">
    <w:abstractNumId w:val="6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embedTrueTypeFonts/>
  <w:saveSubsetFonts/>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ddress" w:val="Floor 11, 452 Flinders Street_x000b_Melbourne VIC 3000_x000b_PO Box 312, Flinders Lane_x000b_Melbourne VIC 8009 Australia"/>
    <w:docVar w:name="AuthorEmail" w:val="fiona.gilbert@Jacobs.com"/>
    <w:docVar w:name="AuthorName" w:val="Fiona Gilbert"/>
    <w:docVar w:name="AuthorPhone" w:val="03 8668 3076"/>
    <w:docVar w:name="AuthorTitle" w:val="Cardinia Creek Risk Assessment report"/>
    <w:docVar w:name="Branding" w:val="JACOBS"/>
    <w:docVar w:name="CoverBusinessRegoNo" w:val="ABN 37 001 024 095"/>
    <w:docVar w:name="CoverCopyright" w:val="Jacobs Group (Australia) Pty Limited"/>
    <w:docVar w:name="CoverLimitation" w:val="Jacobs"/>
    <w:docVar w:name="CoverLogoInUse" w:val=" "/>
    <w:docVar w:name="DisplayToggleMirrorMargins" w:val="True"/>
    <w:docVar w:name="EN.InstantFormat" w:val="&lt;ENInstantFormat&gt;&lt;Enabled&gt;1&lt;/Enabled&gt;&lt;ScanUnformatted&gt;1&lt;/ScanUnformatted&gt;&lt;ScanChanges&gt;1&lt;/ScanChanges&gt;&lt;Suspended&gt;0&lt;/Suspended&gt;&lt;/ENInstantFormat&gt;"/>
    <w:docVar w:name="EN.Layout" w:val="&lt;ENLayout&gt;&lt;Style&gt;Simons style&lt;/Style&gt;&lt;LeftDelim&gt;{&lt;/LeftDelim&gt;&lt;RightDelim&gt;}&lt;/RightDelim&gt;&lt;FontName&gt;Jacobs Chronos&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0s2errflvze20evzxyvr9xzwfwste2v9tf2&quot;&gt;simons current endnote library master Copy&lt;record-ids&gt;&lt;item&gt;1696&lt;/item&gt;&lt;item&gt;3056&lt;/item&gt;&lt;item&gt;3437&lt;/item&gt;&lt;item&gt;3446&lt;/item&gt;&lt;item&gt;3450&lt;/item&gt;&lt;item&gt;3693&lt;/item&gt;&lt;item&gt;3695&lt;/item&gt;&lt;item&gt;3696&lt;/item&gt;&lt;item&gt;3699&lt;/item&gt;&lt;item&gt;3701&lt;/item&gt;&lt;item&gt;3702&lt;/item&gt;&lt;item&gt;3703&lt;/item&gt;&lt;item&gt;3704&lt;/item&gt;&lt;item&gt;3708&lt;/item&gt;&lt;item&gt;3709&lt;/item&gt;&lt;item&gt;3716&lt;/item&gt;&lt;/record-ids&gt;&lt;/item&gt;&lt;/Libraries&gt;"/>
    <w:docVar w:name="EntityName" w:val="Jacobs Group (Australia) Pty Limited"/>
    <w:docVar w:name="EntityOnly" w:val="Jacobs Group (Australia) Pty Limited"/>
    <w:docVar w:name="Fax" w:val="F +61 3 8668 3001"/>
    <w:docVar w:name="FaxFooter" w:val="Jacobs Group (Australia) Pty Limited ABN 37 001 024 095"/>
    <w:docVar w:name="FaxFooterFollowOn" w:val=" "/>
    <w:docVar w:name="FilterItem" w:val="Australia"/>
    <w:docVar w:name="Footer" w:val="Jacobs Group (Australia) Pty Limited ABN 37 001 024 095"/>
    <w:docVar w:name="FooterFollowOn" w:val=" "/>
    <w:docVar w:name="LetterFooter" w:val="Jacobs Group (Australia) Pty Limited ABN 37 001 024 095"/>
    <w:docVar w:name="LetterFooterFollowOn" w:val=" "/>
    <w:docVar w:name="Logo" w:val=" "/>
    <w:docVar w:name="LogoLandscape" w:val="Jacobs landscape logo A4"/>
    <w:docVar w:name="LogoLandscapeA3" w:val="Jacobs landscape logo A3"/>
    <w:docVar w:name="LogoLandscapeA3USL" w:val="Jacobs landscape logo USL A3"/>
    <w:docVar w:name="LogoLandscapeUSL" w:val="Jacobs landscape logo USL"/>
    <w:docVar w:name="LogoPortrait" w:val="Jacobs portrait logo A4"/>
    <w:docVar w:name="LogoPortraitUSL" w:val="Jacobs portrait logo USL"/>
    <w:docVar w:name="LogoProposalA4" w:val="Jacobs report cover logo A4"/>
    <w:docVar w:name="LogoProposalUSL" w:val="Jacobs report cover logo USL"/>
    <w:docVar w:name="LogoReportA3" w:val="Jacobs landscape cover logo A3"/>
    <w:docVar w:name="LogoReportA4" w:val="Jacobs report cover logo A4"/>
    <w:docVar w:name="LogoReportTabloid" w:val="Jacobs landscape cover logo USA3"/>
    <w:docVar w:name="LogoReportUSL" w:val="Jacobs report cover logo USL"/>
    <w:docVar w:name="LogoStationeryGeneral" w:val="Jacobs stationery logo (color)"/>
    <w:docVar w:name="LogoStationeryGeneralUSL" w:val="Jacobs stationery logo (color)"/>
    <w:docVar w:name="LogoStationeryLetter" w:val="Jacobs letter logo"/>
    <w:docVar w:name="LogoStationeryLetterUSL" w:val="Jacobs letter logo USL"/>
    <w:docVar w:name="LogoUSL" w:val=" "/>
    <w:docVar w:name="OfficeName" w:val="Melbourne (Flinders Street)"/>
    <w:docVar w:name="Paper Size" w:val="A4"/>
    <w:docVar w:name="Phone" w:val="T +61 3 8668 3000"/>
    <w:docVar w:name="RegisteredTradeMark" w:val="Jacobs® is a trademark of Jacobs Engineering Group Inc."/>
    <w:docVar w:name="ShortAddress1" w:val=" "/>
    <w:docVar w:name="ShortAddress2" w:val=" "/>
    <w:docVar w:name="Web" w:val="www.jacobs.com"/>
  </w:docVars>
  <w:rsids>
    <w:rsidRoot w:val="0064413A"/>
    <w:rsid w:val="000014B3"/>
    <w:rsid w:val="00001679"/>
    <w:rsid w:val="00001883"/>
    <w:rsid w:val="000027E6"/>
    <w:rsid w:val="00003143"/>
    <w:rsid w:val="000031DA"/>
    <w:rsid w:val="0000440E"/>
    <w:rsid w:val="0000576C"/>
    <w:rsid w:val="00006B5A"/>
    <w:rsid w:val="00007410"/>
    <w:rsid w:val="00007B43"/>
    <w:rsid w:val="00007EDE"/>
    <w:rsid w:val="00011476"/>
    <w:rsid w:val="00011585"/>
    <w:rsid w:val="00012480"/>
    <w:rsid w:val="00012F85"/>
    <w:rsid w:val="00014CF3"/>
    <w:rsid w:val="0001542E"/>
    <w:rsid w:val="00015462"/>
    <w:rsid w:val="00015523"/>
    <w:rsid w:val="000157E5"/>
    <w:rsid w:val="00016CF3"/>
    <w:rsid w:val="0001705B"/>
    <w:rsid w:val="00017990"/>
    <w:rsid w:val="00020F53"/>
    <w:rsid w:val="000217C0"/>
    <w:rsid w:val="00022A2A"/>
    <w:rsid w:val="00022FBA"/>
    <w:rsid w:val="00024B85"/>
    <w:rsid w:val="00025193"/>
    <w:rsid w:val="000252CA"/>
    <w:rsid w:val="00025610"/>
    <w:rsid w:val="00025944"/>
    <w:rsid w:val="00026231"/>
    <w:rsid w:val="000345B4"/>
    <w:rsid w:val="00034CE2"/>
    <w:rsid w:val="000352B5"/>
    <w:rsid w:val="00035706"/>
    <w:rsid w:val="00036D0C"/>
    <w:rsid w:val="000373F0"/>
    <w:rsid w:val="00037461"/>
    <w:rsid w:val="00040A20"/>
    <w:rsid w:val="00042295"/>
    <w:rsid w:val="00042B88"/>
    <w:rsid w:val="0004302B"/>
    <w:rsid w:val="00043C9F"/>
    <w:rsid w:val="0004420D"/>
    <w:rsid w:val="000465FB"/>
    <w:rsid w:val="0005163C"/>
    <w:rsid w:val="000524AE"/>
    <w:rsid w:val="0005266C"/>
    <w:rsid w:val="00052E73"/>
    <w:rsid w:val="0005390A"/>
    <w:rsid w:val="00054594"/>
    <w:rsid w:val="0005491F"/>
    <w:rsid w:val="0005594D"/>
    <w:rsid w:val="000569C5"/>
    <w:rsid w:val="00061534"/>
    <w:rsid w:val="00062407"/>
    <w:rsid w:val="0006464F"/>
    <w:rsid w:val="00064759"/>
    <w:rsid w:val="000670B2"/>
    <w:rsid w:val="00067BEB"/>
    <w:rsid w:val="000702C8"/>
    <w:rsid w:val="00070FB4"/>
    <w:rsid w:val="000721E4"/>
    <w:rsid w:val="000728C3"/>
    <w:rsid w:val="00073410"/>
    <w:rsid w:val="00074B80"/>
    <w:rsid w:val="000758F9"/>
    <w:rsid w:val="00075D0D"/>
    <w:rsid w:val="00076BB8"/>
    <w:rsid w:val="0008100C"/>
    <w:rsid w:val="00081C6F"/>
    <w:rsid w:val="00082ACE"/>
    <w:rsid w:val="00082F46"/>
    <w:rsid w:val="00083C13"/>
    <w:rsid w:val="000847A8"/>
    <w:rsid w:val="000860D4"/>
    <w:rsid w:val="00086790"/>
    <w:rsid w:val="000867FF"/>
    <w:rsid w:val="00086E78"/>
    <w:rsid w:val="000877FD"/>
    <w:rsid w:val="00087A4B"/>
    <w:rsid w:val="0009050E"/>
    <w:rsid w:val="00090E03"/>
    <w:rsid w:val="00091559"/>
    <w:rsid w:val="00091D03"/>
    <w:rsid w:val="00093693"/>
    <w:rsid w:val="00094190"/>
    <w:rsid w:val="00096085"/>
    <w:rsid w:val="00097841"/>
    <w:rsid w:val="000A0E10"/>
    <w:rsid w:val="000A125A"/>
    <w:rsid w:val="000A1438"/>
    <w:rsid w:val="000A20EF"/>
    <w:rsid w:val="000A295D"/>
    <w:rsid w:val="000A3931"/>
    <w:rsid w:val="000A44CA"/>
    <w:rsid w:val="000A4DB7"/>
    <w:rsid w:val="000A71CC"/>
    <w:rsid w:val="000A782F"/>
    <w:rsid w:val="000B07EA"/>
    <w:rsid w:val="000B109D"/>
    <w:rsid w:val="000B2524"/>
    <w:rsid w:val="000B2CA3"/>
    <w:rsid w:val="000B59CD"/>
    <w:rsid w:val="000B5DC3"/>
    <w:rsid w:val="000B7020"/>
    <w:rsid w:val="000B7078"/>
    <w:rsid w:val="000C02D2"/>
    <w:rsid w:val="000C0BA2"/>
    <w:rsid w:val="000C3406"/>
    <w:rsid w:val="000D10DA"/>
    <w:rsid w:val="000D2EDA"/>
    <w:rsid w:val="000D3176"/>
    <w:rsid w:val="000D48EC"/>
    <w:rsid w:val="000E0AB8"/>
    <w:rsid w:val="000E1485"/>
    <w:rsid w:val="000E1EA7"/>
    <w:rsid w:val="000E200F"/>
    <w:rsid w:val="000E2676"/>
    <w:rsid w:val="000E3302"/>
    <w:rsid w:val="000E337F"/>
    <w:rsid w:val="000E3677"/>
    <w:rsid w:val="000E6EF2"/>
    <w:rsid w:val="000E7503"/>
    <w:rsid w:val="000F0EE5"/>
    <w:rsid w:val="000F1818"/>
    <w:rsid w:val="000F2DCD"/>
    <w:rsid w:val="000F3100"/>
    <w:rsid w:val="000F38BE"/>
    <w:rsid w:val="000F39F0"/>
    <w:rsid w:val="000F494A"/>
    <w:rsid w:val="000F49F4"/>
    <w:rsid w:val="000F53A1"/>
    <w:rsid w:val="000F54A5"/>
    <w:rsid w:val="000F6CCF"/>
    <w:rsid w:val="000F6F05"/>
    <w:rsid w:val="000F743D"/>
    <w:rsid w:val="00100084"/>
    <w:rsid w:val="00101052"/>
    <w:rsid w:val="00101FEF"/>
    <w:rsid w:val="00106424"/>
    <w:rsid w:val="00106744"/>
    <w:rsid w:val="00107C37"/>
    <w:rsid w:val="0011226D"/>
    <w:rsid w:val="00112282"/>
    <w:rsid w:val="00112B85"/>
    <w:rsid w:val="00112F88"/>
    <w:rsid w:val="001143B7"/>
    <w:rsid w:val="00115E60"/>
    <w:rsid w:val="001174F3"/>
    <w:rsid w:val="001175AB"/>
    <w:rsid w:val="00117715"/>
    <w:rsid w:val="00117869"/>
    <w:rsid w:val="00120AD8"/>
    <w:rsid w:val="00121816"/>
    <w:rsid w:val="00121B83"/>
    <w:rsid w:val="00121BBB"/>
    <w:rsid w:val="00121F3E"/>
    <w:rsid w:val="00122DF8"/>
    <w:rsid w:val="00123BED"/>
    <w:rsid w:val="001249A3"/>
    <w:rsid w:val="00126F54"/>
    <w:rsid w:val="00127613"/>
    <w:rsid w:val="00127C0E"/>
    <w:rsid w:val="00127C46"/>
    <w:rsid w:val="0013088D"/>
    <w:rsid w:val="00130CF9"/>
    <w:rsid w:val="00131C20"/>
    <w:rsid w:val="00132619"/>
    <w:rsid w:val="001329A5"/>
    <w:rsid w:val="00134301"/>
    <w:rsid w:val="00134CCF"/>
    <w:rsid w:val="00134D7D"/>
    <w:rsid w:val="0014018E"/>
    <w:rsid w:val="0014107C"/>
    <w:rsid w:val="00141CBD"/>
    <w:rsid w:val="0014204D"/>
    <w:rsid w:val="00142DCF"/>
    <w:rsid w:val="001449D8"/>
    <w:rsid w:val="00146A88"/>
    <w:rsid w:val="00146F8C"/>
    <w:rsid w:val="0014724D"/>
    <w:rsid w:val="001521D6"/>
    <w:rsid w:val="00152CDD"/>
    <w:rsid w:val="00153090"/>
    <w:rsid w:val="001551A8"/>
    <w:rsid w:val="00155BE5"/>
    <w:rsid w:val="00156D73"/>
    <w:rsid w:val="00157170"/>
    <w:rsid w:val="00157971"/>
    <w:rsid w:val="00160681"/>
    <w:rsid w:val="001609B7"/>
    <w:rsid w:val="00161569"/>
    <w:rsid w:val="00161E9D"/>
    <w:rsid w:val="00162083"/>
    <w:rsid w:val="0016335F"/>
    <w:rsid w:val="00163A01"/>
    <w:rsid w:val="0016568E"/>
    <w:rsid w:val="0016602E"/>
    <w:rsid w:val="0016618D"/>
    <w:rsid w:val="00170125"/>
    <w:rsid w:val="00170FDB"/>
    <w:rsid w:val="0017126C"/>
    <w:rsid w:val="00171500"/>
    <w:rsid w:val="0017295D"/>
    <w:rsid w:val="00173577"/>
    <w:rsid w:val="00174C71"/>
    <w:rsid w:val="001755CB"/>
    <w:rsid w:val="001755FB"/>
    <w:rsid w:val="0017620C"/>
    <w:rsid w:val="001765F1"/>
    <w:rsid w:val="00176862"/>
    <w:rsid w:val="0017789D"/>
    <w:rsid w:val="00177FDA"/>
    <w:rsid w:val="00180105"/>
    <w:rsid w:val="0018042B"/>
    <w:rsid w:val="00181066"/>
    <w:rsid w:val="00182D55"/>
    <w:rsid w:val="0018373C"/>
    <w:rsid w:val="00183EB7"/>
    <w:rsid w:val="001860B5"/>
    <w:rsid w:val="00186109"/>
    <w:rsid w:val="00191365"/>
    <w:rsid w:val="00192EB2"/>
    <w:rsid w:val="00194829"/>
    <w:rsid w:val="00195AF6"/>
    <w:rsid w:val="00195EC1"/>
    <w:rsid w:val="001963C7"/>
    <w:rsid w:val="00196D13"/>
    <w:rsid w:val="0019755B"/>
    <w:rsid w:val="001A175E"/>
    <w:rsid w:val="001A1DD3"/>
    <w:rsid w:val="001A3F34"/>
    <w:rsid w:val="001A42CC"/>
    <w:rsid w:val="001A7288"/>
    <w:rsid w:val="001A7354"/>
    <w:rsid w:val="001B005A"/>
    <w:rsid w:val="001B16B0"/>
    <w:rsid w:val="001B2790"/>
    <w:rsid w:val="001B305A"/>
    <w:rsid w:val="001B39C9"/>
    <w:rsid w:val="001B40BE"/>
    <w:rsid w:val="001B563A"/>
    <w:rsid w:val="001B5766"/>
    <w:rsid w:val="001B5F80"/>
    <w:rsid w:val="001B6D0B"/>
    <w:rsid w:val="001B71DB"/>
    <w:rsid w:val="001B7227"/>
    <w:rsid w:val="001C0E03"/>
    <w:rsid w:val="001C1EA8"/>
    <w:rsid w:val="001C33DA"/>
    <w:rsid w:val="001C3E25"/>
    <w:rsid w:val="001C44BA"/>
    <w:rsid w:val="001C45CF"/>
    <w:rsid w:val="001C4EDA"/>
    <w:rsid w:val="001C725F"/>
    <w:rsid w:val="001C784E"/>
    <w:rsid w:val="001D14F1"/>
    <w:rsid w:val="001D5E3F"/>
    <w:rsid w:val="001D74FA"/>
    <w:rsid w:val="001D7B37"/>
    <w:rsid w:val="001D7DE2"/>
    <w:rsid w:val="001E06A0"/>
    <w:rsid w:val="001E0F78"/>
    <w:rsid w:val="001E1256"/>
    <w:rsid w:val="001E3658"/>
    <w:rsid w:val="001E3A56"/>
    <w:rsid w:val="001E4D1D"/>
    <w:rsid w:val="001E4D1E"/>
    <w:rsid w:val="001E4EDA"/>
    <w:rsid w:val="001E64D2"/>
    <w:rsid w:val="001E67A5"/>
    <w:rsid w:val="001E6AC1"/>
    <w:rsid w:val="001E6FE7"/>
    <w:rsid w:val="001F0697"/>
    <w:rsid w:val="001F150C"/>
    <w:rsid w:val="001F1CF0"/>
    <w:rsid w:val="001F28F2"/>
    <w:rsid w:val="001F3044"/>
    <w:rsid w:val="001F3D0A"/>
    <w:rsid w:val="001F418B"/>
    <w:rsid w:val="001F4867"/>
    <w:rsid w:val="001F5213"/>
    <w:rsid w:val="001F5420"/>
    <w:rsid w:val="001F619C"/>
    <w:rsid w:val="001F74B3"/>
    <w:rsid w:val="001F77E1"/>
    <w:rsid w:val="0020155D"/>
    <w:rsid w:val="00201B6F"/>
    <w:rsid w:val="002022C2"/>
    <w:rsid w:val="00202AF0"/>
    <w:rsid w:val="00202CA4"/>
    <w:rsid w:val="0020454A"/>
    <w:rsid w:val="00204A7E"/>
    <w:rsid w:val="00204B30"/>
    <w:rsid w:val="00204BAD"/>
    <w:rsid w:val="002061B9"/>
    <w:rsid w:val="00206C05"/>
    <w:rsid w:val="00206F76"/>
    <w:rsid w:val="00207744"/>
    <w:rsid w:val="00210FE9"/>
    <w:rsid w:val="00212B8E"/>
    <w:rsid w:val="00213631"/>
    <w:rsid w:val="00213E89"/>
    <w:rsid w:val="00214E0E"/>
    <w:rsid w:val="00215295"/>
    <w:rsid w:val="0021636C"/>
    <w:rsid w:val="002208A1"/>
    <w:rsid w:val="002229CD"/>
    <w:rsid w:val="00222FCB"/>
    <w:rsid w:val="002233F0"/>
    <w:rsid w:val="00223951"/>
    <w:rsid w:val="00223DEF"/>
    <w:rsid w:val="00224068"/>
    <w:rsid w:val="00224FA7"/>
    <w:rsid w:val="00225B97"/>
    <w:rsid w:val="00225F88"/>
    <w:rsid w:val="002264C0"/>
    <w:rsid w:val="00227F29"/>
    <w:rsid w:val="00230452"/>
    <w:rsid w:val="00230C0B"/>
    <w:rsid w:val="0023198F"/>
    <w:rsid w:val="002344A6"/>
    <w:rsid w:val="00236A21"/>
    <w:rsid w:val="00240E3A"/>
    <w:rsid w:val="0024108E"/>
    <w:rsid w:val="0024167D"/>
    <w:rsid w:val="00241814"/>
    <w:rsid w:val="00241F39"/>
    <w:rsid w:val="00243F49"/>
    <w:rsid w:val="0024455A"/>
    <w:rsid w:val="0024469B"/>
    <w:rsid w:val="00244F7C"/>
    <w:rsid w:val="002455F3"/>
    <w:rsid w:val="002474C4"/>
    <w:rsid w:val="002474CD"/>
    <w:rsid w:val="002474F0"/>
    <w:rsid w:val="00247B7C"/>
    <w:rsid w:val="00251A70"/>
    <w:rsid w:val="00251CEA"/>
    <w:rsid w:val="002520D0"/>
    <w:rsid w:val="00252AD9"/>
    <w:rsid w:val="00252BBF"/>
    <w:rsid w:val="00252FCB"/>
    <w:rsid w:val="002535DC"/>
    <w:rsid w:val="00254801"/>
    <w:rsid w:val="00255235"/>
    <w:rsid w:val="00255479"/>
    <w:rsid w:val="00255E56"/>
    <w:rsid w:val="002566FD"/>
    <w:rsid w:val="002568C7"/>
    <w:rsid w:val="0025702F"/>
    <w:rsid w:val="00257A09"/>
    <w:rsid w:val="002607E5"/>
    <w:rsid w:val="0026179A"/>
    <w:rsid w:val="00262E79"/>
    <w:rsid w:val="00263F0D"/>
    <w:rsid w:val="00264230"/>
    <w:rsid w:val="002663E4"/>
    <w:rsid w:val="00267DD3"/>
    <w:rsid w:val="00267F07"/>
    <w:rsid w:val="00270DFC"/>
    <w:rsid w:val="00270ED9"/>
    <w:rsid w:val="00271B84"/>
    <w:rsid w:val="00272230"/>
    <w:rsid w:val="00274839"/>
    <w:rsid w:val="002752B2"/>
    <w:rsid w:val="00275890"/>
    <w:rsid w:val="00275DB5"/>
    <w:rsid w:val="0027714D"/>
    <w:rsid w:val="0027759C"/>
    <w:rsid w:val="002776CE"/>
    <w:rsid w:val="00280529"/>
    <w:rsid w:val="0028203F"/>
    <w:rsid w:val="00283089"/>
    <w:rsid w:val="002845FA"/>
    <w:rsid w:val="00284BCD"/>
    <w:rsid w:val="0028596B"/>
    <w:rsid w:val="0028726D"/>
    <w:rsid w:val="00287F6A"/>
    <w:rsid w:val="00290A79"/>
    <w:rsid w:val="002911B2"/>
    <w:rsid w:val="00292170"/>
    <w:rsid w:val="00292753"/>
    <w:rsid w:val="002929C7"/>
    <w:rsid w:val="00292B49"/>
    <w:rsid w:val="00293400"/>
    <w:rsid w:val="002944B2"/>
    <w:rsid w:val="002959C4"/>
    <w:rsid w:val="00297374"/>
    <w:rsid w:val="002979AC"/>
    <w:rsid w:val="002A00CE"/>
    <w:rsid w:val="002A3E36"/>
    <w:rsid w:val="002A629B"/>
    <w:rsid w:val="002A6B32"/>
    <w:rsid w:val="002A7CAB"/>
    <w:rsid w:val="002B0D33"/>
    <w:rsid w:val="002B3695"/>
    <w:rsid w:val="002B3827"/>
    <w:rsid w:val="002B3C2E"/>
    <w:rsid w:val="002B4ABA"/>
    <w:rsid w:val="002B6318"/>
    <w:rsid w:val="002B6448"/>
    <w:rsid w:val="002B6525"/>
    <w:rsid w:val="002B6F8B"/>
    <w:rsid w:val="002C02FB"/>
    <w:rsid w:val="002C11A2"/>
    <w:rsid w:val="002C2F94"/>
    <w:rsid w:val="002C38C3"/>
    <w:rsid w:val="002C6A76"/>
    <w:rsid w:val="002C70C7"/>
    <w:rsid w:val="002D0844"/>
    <w:rsid w:val="002D1A9F"/>
    <w:rsid w:val="002D1BCA"/>
    <w:rsid w:val="002D3EC5"/>
    <w:rsid w:val="002D444F"/>
    <w:rsid w:val="002D549F"/>
    <w:rsid w:val="002D59CD"/>
    <w:rsid w:val="002D70F5"/>
    <w:rsid w:val="002D7A95"/>
    <w:rsid w:val="002D7B56"/>
    <w:rsid w:val="002E0AFC"/>
    <w:rsid w:val="002E16D5"/>
    <w:rsid w:val="002E1794"/>
    <w:rsid w:val="002E1D85"/>
    <w:rsid w:val="002E3592"/>
    <w:rsid w:val="002E5D59"/>
    <w:rsid w:val="002E61CB"/>
    <w:rsid w:val="002E69A2"/>
    <w:rsid w:val="002E7970"/>
    <w:rsid w:val="002E7DC6"/>
    <w:rsid w:val="002F0A5A"/>
    <w:rsid w:val="002F1064"/>
    <w:rsid w:val="002F2727"/>
    <w:rsid w:val="002F394C"/>
    <w:rsid w:val="002F4511"/>
    <w:rsid w:val="002F46FA"/>
    <w:rsid w:val="002F7A84"/>
    <w:rsid w:val="0030043D"/>
    <w:rsid w:val="00302065"/>
    <w:rsid w:val="00302656"/>
    <w:rsid w:val="00304077"/>
    <w:rsid w:val="00305295"/>
    <w:rsid w:val="0030688F"/>
    <w:rsid w:val="0030764E"/>
    <w:rsid w:val="00307BF0"/>
    <w:rsid w:val="00311964"/>
    <w:rsid w:val="00312B0C"/>
    <w:rsid w:val="00314807"/>
    <w:rsid w:val="00314848"/>
    <w:rsid w:val="00316296"/>
    <w:rsid w:val="003202A7"/>
    <w:rsid w:val="00320383"/>
    <w:rsid w:val="003204CD"/>
    <w:rsid w:val="00320D2C"/>
    <w:rsid w:val="003212CE"/>
    <w:rsid w:val="00321F82"/>
    <w:rsid w:val="003220C5"/>
    <w:rsid w:val="00324783"/>
    <w:rsid w:val="003252EA"/>
    <w:rsid w:val="003254E4"/>
    <w:rsid w:val="00327198"/>
    <w:rsid w:val="00327817"/>
    <w:rsid w:val="00330FB8"/>
    <w:rsid w:val="003326ED"/>
    <w:rsid w:val="003330E6"/>
    <w:rsid w:val="00333252"/>
    <w:rsid w:val="00334626"/>
    <w:rsid w:val="00335041"/>
    <w:rsid w:val="00335616"/>
    <w:rsid w:val="00335958"/>
    <w:rsid w:val="00336E1A"/>
    <w:rsid w:val="00340828"/>
    <w:rsid w:val="00343DBB"/>
    <w:rsid w:val="00343E0D"/>
    <w:rsid w:val="00344967"/>
    <w:rsid w:val="0034782A"/>
    <w:rsid w:val="00347D96"/>
    <w:rsid w:val="003506DF"/>
    <w:rsid w:val="00351097"/>
    <w:rsid w:val="00351507"/>
    <w:rsid w:val="003531F5"/>
    <w:rsid w:val="00353F07"/>
    <w:rsid w:val="0035403A"/>
    <w:rsid w:val="0035480C"/>
    <w:rsid w:val="003552CE"/>
    <w:rsid w:val="00356452"/>
    <w:rsid w:val="00357C6D"/>
    <w:rsid w:val="00360936"/>
    <w:rsid w:val="003611D2"/>
    <w:rsid w:val="00362377"/>
    <w:rsid w:val="003629D1"/>
    <w:rsid w:val="00362D25"/>
    <w:rsid w:val="00364CFC"/>
    <w:rsid w:val="00366CAC"/>
    <w:rsid w:val="003672A2"/>
    <w:rsid w:val="003674B1"/>
    <w:rsid w:val="00367E95"/>
    <w:rsid w:val="00370182"/>
    <w:rsid w:val="00371B79"/>
    <w:rsid w:val="00372103"/>
    <w:rsid w:val="00372344"/>
    <w:rsid w:val="003730BF"/>
    <w:rsid w:val="00373110"/>
    <w:rsid w:val="003767BF"/>
    <w:rsid w:val="00376AEF"/>
    <w:rsid w:val="003772ED"/>
    <w:rsid w:val="00380BBE"/>
    <w:rsid w:val="0038185E"/>
    <w:rsid w:val="00383416"/>
    <w:rsid w:val="0038422B"/>
    <w:rsid w:val="00384844"/>
    <w:rsid w:val="00385342"/>
    <w:rsid w:val="00385E26"/>
    <w:rsid w:val="0038646A"/>
    <w:rsid w:val="00386BD5"/>
    <w:rsid w:val="003909F3"/>
    <w:rsid w:val="00390D65"/>
    <w:rsid w:val="00391D94"/>
    <w:rsid w:val="00393937"/>
    <w:rsid w:val="00394309"/>
    <w:rsid w:val="00394855"/>
    <w:rsid w:val="003950AB"/>
    <w:rsid w:val="00396074"/>
    <w:rsid w:val="00396D30"/>
    <w:rsid w:val="003975FA"/>
    <w:rsid w:val="003A00A6"/>
    <w:rsid w:val="003A0D3E"/>
    <w:rsid w:val="003A175A"/>
    <w:rsid w:val="003A1CE9"/>
    <w:rsid w:val="003A225B"/>
    <w:rsid w:val="003A2B0F"/>
    <w:rsid w:val="003A2CD7"/>
    <w:rsid w:val="003A3034"/>
    <w:rsid w:val="003A35AB"/>
    <w:rsid w:val="003A5F6A"/>
    <w:rsid w:val="003A6027"/>
    <w:rsid w:val="003B0305"/>
    <w:rsid w:val="003B03DD"/>
    <w:rsid w:val="003B043C"/>
    <w:rsid w:val="003B1407"/>
    <w:rsid w:val="003B178B"/>
    <w:rsid w:val="003B1C52"/>
    <w:rsid w:val="003B24FC"/>
    <w:rsid w:val="003B2811"/>
    <w:rsid w:val="003B3A20"/>
    <w:rsid w:val="003B3DD5"/>
    <w:rsid w:val="003B4CC6"/>
    <w:rsid w:val="003B5A3C"/>
    <w:rsid w:val="003B666D"/>
    <w:rsid w:val="003B6B5A"/>
    <w:rsid w:val="003B6BCF"/>
    <w:rsid w:val="003C021D"/>
    <w:rsid w:val="003C0330"/>
    <w:rsid w:val="003C057C"/>
    <w:rsid w:val="003C2143"/>
    <w:rsid w:val="003C5544"/>
    <w:rsid w:val="003C67BE"/>
    <w:rsid w:val="003C757B"/>
    <w:rsid w:val="003D099B"/>
    <w:rsid w:val="003D1ECB"/>
    <w:rsid w:val="003D2E6F"/>
    <w:rsid w:val="003D4495"/>
    <w:rsid w:val="003D697F"/>
    <w:rsid w:val="003E21E8"/>
    <w:rsid w:val="003E5197"/>
    <w:rsid w:val="003E59A6"/>
    <w:rsid w:val="003E6362"/>
    <w:rsid w:val="003E66AF"/>
    <w:rsid w:val="003E6E41"/>
    <w:rsid w:val="003E6F51"/>
    <w:rsid w:val="003E72BF"/>
    <w:rsid w:val="003F0A8D"/>
    <w:rsid w:val="003F106A"/>
    <w:rsid w:val="003F155A"/>
    <w:rsid w:val="003F2663"/>
    <w:rsid w:val="003F2B10"/>
    <w:rsid w:val="003F3381"/>
    <w:rsid w:val="003F37F0"/>
    <w:rsid w:val="003F410A"/>
    <w:rsid w:val="003F41F9"/>
    <w:rsid w:val="003F5870"/>
    <w:rsid w:val="003F6305"/>
    <w:rsid w:val="003F69DC"/>
    <w:rsid w:val="00400B48"/>
    <w:rsid w:val="00400F37"/>
    <w:rsid w:val="00403866"/>
    <w:rsid w:val="004045D9"/>
    <w:rsid w:val="004120C2"/>
    <w:rsid w:val="0041210B"/>
    <w:rsid w:val="00412FA7"/>
    <w:rsid w:val="00414DF0"/>
    <w:rsid w:val="0041555E"/>
    <w:rsid w:val="00416786"/>
    <w:rsid w:val="004200A9"/>
    <w:rsid w:val="00420660"/>
    <w:rsid w:val="0042145A"/>
    <w:rsid w:val="00422D6C"/>
    <w:rsid w:val="00423D9F"/>
    <w:rsid w:val="004241B4"/>
    <w:rsid w:val="00424AA5"/>
    <w:rsid w:val="00425457"/>
    <w:rsid w:val="00425EA4"/>
    <w:rsid w:val="004267B2"/>
    <w:rsid w:val="004300A0"/>
    <w:rsid w:val="00430641"/>
    <w:rsid w:val="00430F16"/>
    <w:rsid w:val="00432E76"/>
    <w:rsid w:val="0043300A"/>
    <w:rsid w:val="0043317F"/>
    <w:rsid w:val="004341EC"/>
    <w:rsid w:val="004346F4"/>
    <w:rsid w:val="00435EE3"/>
    <w:rsid w:val="0043617D"/>
    <w:rsid w:val="0044077F"/>
    <w:rsid w:val="00441743"/>
    <w:rsid w:val="004427A5"/>
    <w:rsid w:val="00442E25"/>
    <w:rsid w:val="00443B88"/>
    <w:rsid w:val="0044473B"/>
    <w:rsid w:val="00444AFC"/>
    <w:rsid w:val="0044537D"/>
    <w:rsid w:val="004513C8"/>
    <w:rsid w:val="00452036"/>
    <w:rsid w:val="0045393F"/>
    <w:rsid w:val="00453C8E"/>
    <w:rsid w:val="0045552D"/>
    <w:rsid w:val="00455936"/>
    <w:rsid w:val="0045628F"/>
    <w:rsid w:val="00456CCE"/>
    <w:rsid w:val="0045757F"/>
    <w:rsid w:val="00457C9C"/>
    <w:rsid w:val="00460241"/>
    <w:rsid w:val="00460741"/>
    <w:rsid w:val="0046148A"/>
    <w:rsid w:val="0046257D"/>
    <w:rsid w:val="00462BDA"/>
    <w:rsid w:val="00462CB3"/>
    <w:rsid w:val="00462D0D"/>
    <w:rsid w:val="00463857"/>
    <w:rsid w:val="004638D7"/>
    <w:rsid w:val="004646A4"/>
    <w:rsid w:val="004646DE"/>
    <w:rsid w:val="00464DA8"/>
    <w:rsid w:val="00464E96"/>
    <w:rsid w:val="004650AF"/>
    <w:rsid w:val="004659D9"/>
    <w:rsid w:val="00465A60"/>
    <w:rsid w:val="00466175"/>
    <w:rsid w:val="00467CCE"/>
    <w:rsid w:val="00472625"/>
    <w:rsid w:val="0047354D"/>
    <w:rsid w:val="0047697B"/>
    <w:rsid w:val="00477583"/>
    <w:rsid w:val="00477A91"/>
    <w:rsid w:val="00482053"/>
    <w:rsid w:val="004820FB"/>
    <w:rsid w:val="004823B2"/>
    <w:rsid w:val="00482EE8"/>
    <w:rsid w:val="004836D4"/>
    <w:rsid w:val="004837BE"/>
    <w:rsid w:val="00485E48"/>
    <w:rsid w:val="00487542"/>
    <w:rsid w:val="00487CAE"/>
    <w:rsid w:val="00490765"/>
    <w:rsid w:val="0049114A"/>
    <w:rsid w:val="00491431"/>
    <w:rsid w:val="00491776"/>
    <w:rsid w:val="0049178E"/>
    <w:rsid w:val="00491B38"/>
    <w:rsid w:val="0049377C"/>
    <w:rsid w:val="00494D94"/>
    <w:rsid w:val="00494DCD"/>
    <w:rsid w:val="00495D5C"/>
    <w:rsid w:val="00496130"/>
    <w:rsid w:val="0049667F"/>
    <w:rsid w:val="004A0239"/>
    <w:rsid w:val="004A03D2"/>
    <w:rsid w:val="004A0AA8"/>
    <w:rsid w:val="004A1B6E"/>
    <w:rsid w:val="004A1D42"/>
    <w:rsid w:val="004A201A"/>
    <w:rsid w:val="004A237E"/>
    <w:rsid w:val="004A3A35"/>
    <w:rsid w:val="004A523E"/>
    <w:rsid w:val="004A548B"/>
    <w:rsid w:val="004A7938"/>
    <w:rsid w:val="004B1323"/>
    <w:rsid w:val="004B24FD"/>
    <w:rsid w:val="004B27A2"/>
    <w:rsid w:val="004B306E"/>
    <w:rsid w:val="004B3565"/>
    <w:rsid w:val="004B4631"/>
    <w:rsid w:val="004B4C09"/>
    <w:rsid w:val="004B4EEB"/>
    <w:rsid w:val="004C1756"/>
    <w:rsid w:val="004C1BE0"/>
    <w:rsid w:val="004C3556"/>
    <w:rsid w:val="004C3699"/>
    <w:rsid w:val="004C374E"/>
    <w:rsid w:val="004C3852"/>
    <w:rsid w:val="004C4CE4"/>
    <w:rsid w:val="004C7720"/>
    <w:rsid w:val="004D0B05"/>
    <w:rsid w:val="004D1F12"/>
    <w:rsid w:val="004D29DE"/>
    <w:rsid w:val="004D5019"/>
    <w:rsid w:val="004D5488"/>
    <w:rsid w:val="004D574E"/>
    <w:rsid w:val="004D6125"/>
    <w:rsid w:val="004D7A3B"/>
    <w:rsid w:val="004E185A"/>
    <w:rsid w:val="004E369D"/>
    <w:rsid w:val="004E570F"/>
    <w:rsid w:val="004E57C8"/>
    <w:rsid w:val="004E6541"/>
    <w:rsid w:val="004E65E7"/>
    <w:rsid w:val="004F026A"/>
    <w:rsid w:val="004F1471"/>
    <w:rsid w:val="004F1718"/>
    <w:rsid w:val="004F2501"/>
    <w:rsid w:val="004F25EC"/>
    <w:rsid w:val="004F401D"/>
    <w:rsid w:val="004F4E9F"/>
    <w:rsid w:val="004F66B1"/>
    <w:rsid w:val="0050131E"/>
    <w:rsid w:val="00503B4B"/>
    <w:rsid w:val="00503FBD"/>
    <w:rsid w:val="00504189"/>
    <w:rsid w:val="00507192"/>
    <w:rsid w:val="0050747E"/>
    <w:rsid w:val="0050777F"/>
    <w:rsid w:val="00511FD3"/>
    <w:rsid w:val="00512219"/>
    <w:rsid w:val="00512430"/>
    <w:rsid w:val="00513D2A"/>
    <w:rsid w:val="0051485F"/>
    <w:rsid w:val="00515948"/>
    <w:rsid w:val="00515DE2"/>
    <w:rsid w:val="005163C9"/>
    <w:rsid w:val="005167D0"/>
    <w:rsid w:val="00516D09"/>
    <w:rsid w:val="00520146"/>
    <w:rsid w:val="00520778"/>
    <w:rsid w:val="005226B5"/>
    <w:rsid w:val="00523360"/>
    <w:rsid w:val="00523D25"/>
    <w:rsid w:val="00526224"/>
    <w:rsid w:val="005267B8"/>
    <w:rsid w:val="005271BE"/>
    <w:rsid w:val="00530480"/>
    <w:rsid w:val="0053085F"/>
    <w:rsid w:val="00530B47"/>
    <w:rsid w:val="005316C5"/>
    <w:rsid w:val="00531F2B"/>
    <w:rsid w:val="005320E8"/>
    <w:rsid w:val="005337F6"/>
    <w:rsid w:val="00534198"/>
    <w:rsid w:val="0053431A"/>
    <w:rsid w:val="0053463E"/>
    <w:rsid w:val="00535794"/>
    <w:rsid w:val="005359B5"/>
    <w:rsid w:val="00535D37"/>
    <w:rsid w:val="00536452"/>
    <w:rsid w:val="00536A4B"/>
    <w:rsid w:val="00536E59"/>
    <w:rsid w:val="00536E6B"/>
    <w:rsid w:val="005379B9"/>
    <w:rsid w:val="00541515"/>
    <w:rsid w:val="005422BA"/>
    <w:rsid w:val="00543E3F"/>
    <w:rsid w:val="0054412F"/>
    <w:rsid w:val="00544DE9"/>
    <w:rsid w:val="00545228"/>
    <w:rsid w:val="005456C8"/>
    <w:rsid w:val="00546BE4"/>
    <w:rsid w:val="00546F86"/>
    <w:rsid w:val="005503F8"/>
    <w:rsid w:val="00550400"/>
    <w:rsid w:val="00552BFB"/>
    <w:rsid w:val="00553284"/>
    <w:rsid w:val="00554DFE"/>
    <w:rsid w:val="00554E58"/>
    <w:rsid w:val="005556F3"/>
    <w:rsid w:val="00556115"/>
    <w:rsid w:val="00556362"/>
    <w:rsid w:val="00556EB6"/>
    <w:rsid w:val="00561AD5"/>
    <w:rsid w:val="005628F7"/>
    <w:rsid w:val="00564CBE"/>
    <w:rsid w:val="00565598"/>
    <w:rsid w:val="005669CD"/>
    <w:rsid w:val="00566A84"/>
    <w:rsid w:val="0056765F"/>
    <w:rsid w:val="0056780F"/>
    <w:rsid w:val="00567977"/>
    <w:rsid w:val="005679AA"/>
    <w:rsid w:val="00567F73"/>
    <w:rsid w:val="00570FA8"/>
    <w:rsid w:val="00573B81"/>
    <w:rsid w:val="0057447D"/>
    <w:rsid w:val="005749F6"/>
    <w:rsid w:val="00575F5C"/>
    <w:rsid w:val="005767FD"/>
    <w:rsid w:val="00577615"/>
    <w:rsid w:val="005801A0"/>
    <w:rsid w:val="005819EC"/>
    <w:rsid w:val="00583895"/>
    <w:rsid w:val="00585FD9"/>
    <w:rsid w:val="005A044A"/>
    <w:rsid w:val="005A0559"/>
    <w:rsid w:val="005A1B54"/>
    <w:rsid w:val="005A1B99"/>
    <w:rsid w:val="005A1C0F"/>
    <w:rsid w:val="005A2EE3"/>
    <w:rsid w:val="005A375E"/>
    <w:rsid w:val="005A3B5B"/>
    <w:rsid w:val="005A429F"/>
    <w:rsid w:val="005A5441"/>
    <w:rsid w:val="005A7CCC"/>
    <w:rsid w:val="005B004E"/>
    <w:rsid w:val="005B0A1A"/>
    <w:rsid w:val="005B0A63"/>
    <w:rsid w:val="005B1425"/>
    <w:rsid w:val="005B2680"/>
    <w:rsid w:val="005B2D29"/>
    <w:rsid w:val="005B5009"/>
    <w:rsid w:val="005B631C"/>
    <w:rsid w:val="005B7398"/>
    <w:rsid w:val="005B77E0"/>
    <w:rsid w:val="005C0F5F"/>
    <w:rsid w:val="005C0FA6"/>
    <w:rsid w:val="005C2E37"/>
    <w:rsid w:val="005C3798"/>
    <w:rsid w:val="005C4D45"/>
    <w:rsid w:val="005C5D72"/>
    <w:rsid w:val="005D04CE"/>
    <w:rsid w:val="005D14F4"/>
    <w:rsid w:val="005D15AA"/>
    <w:rsid w:val="005D17D6"/>
    <w:rsid w:val="005D1D81"/>
    <w:rsid w:val="005D4E92"/>
    <w:rsid w:val="005D7144"/>
    <w:rsid w:val="005E12B6"/>
    <w:rsid w:val="005E23EA"/>
    <w:rsid w:val="005E323F"/>
    <w:rsid w:val="005E3F0E"/>
    <w:rsid w:val="005E4FA9"/>
    <w:rsid w:val="005E561E"/>
    <w:rsid w:val="005F0114"/>
    <w:rsid w:val="005F0279"/>
    <w:rsid w:val="005F0316"/>
    <w:rsid w:val="005F0B13"/>
    <w:rsid w:val="005F2AFE"/>
    <w:rsid w:val="005F371F"/>
    <w:rsid w:val="005F3DA4"/>
    <w:rsid w:val="005F3EF4"/>
    <w:rsid w:val="005F545D"/>
    <w:rsid w:val="005F5B33"/>
    <w:rsid w:val="005F6D00"/>
    <w:rsid w:val="006006DD"/>
    <w:rsid w:val="00602428"/>
    <w:rsid w:val="00603856"/>
    <w:rsid w:val="006052E7"/>
    <w:rsid w:val="00607A9E"/>
    <w:rsid w:val="00610669"/>
    <w:rsid w:val="0061091B"/>
    <w:rsid w:val="00611321"/>
    <w:rsid w:val="00611A0B"/>
    <w:rsid w:val="0061227F"/>
    <w:rsid w:val="0061420F"/>
    <w:rsid w:val="00615863"/>
    <w:rsid w:val="006170BC"/>
    <w:rsid w:val="0061721B"/>
    <w:rsid w:val="006218E7"/>
    <w:rsid w:val="00621A59"/>
    <w:rsid w:val="0062204E"/>
    <w:rsid w:val="0062463C"/>
    <w:rsid w:val="00624661"/>
    <w:rsid w:val="006256E9"/>
    <w:rsid w:val="0062579D"/>
    <w:rsid w:val="00626147"/>
    <w:rsid w:val="0062671A"/>
    <w:rsid w:val="006272CA"/>
    <w:rsid w:val="00627CC3"/>
    <w:rsid w:val="0063018B"/>
    <w:rsid w:val="00630738"/>
    <w:rsid w:val="00631517"/>
    <w:rsid w:val="006336DE"/>
    <w:rsid w:val="006340AE"/>
    <w:rsid w:val="006341D0"/>
    <w:rsid w:val="00634564"/>
    <w:rsid w:val="00634625"/>
    <w:rsid w:val="00634D74"/>
    <w:rsid w:val="00634FA7"/>
    <w:rsid w:val="00635EA7"/>
    <w:rsid w:val="00637BA7"/>
    <w:rsid w:val="00641496"/>
    <w:rsid w:val="0064173F"/>
    <w:rsid w:val="006419D0"/>
    <w:rsid w:val="00642689"/>
    <w:rsid w:val="00642879"/>
    <w:rsid w:val="0064413A"/>
    <w:rsid w:val="00644359"/>
    <w:rsid w:val="0064472E"/>
    <w:rsid w:val="00645A7C"/>
    <w:rsid w:val="00646865"/>
    <w:rsid w:val="006509B6"/>
    <w:rsid w:val="0065189A"/>
    <w:rsid w:val="00654687"/>
    <w:rsid w:val="00654CDF"/>
    <w:rsid w:val="00655FC7"/>
    <w:rsid w:val="00657C60"/>
    <w:rsid w:val="00660F0E"/>
    <w:rsid w:val="0066339A"/>
    <w:rsid w:val="00664283"/>
    <w:rsid w:val="00664925"/>
    <w:rsid w:val="006700B7"/>
    <w:rsid w:val="0067108D"/>
    <w:rsid w:val="0067246A"/>
    <w:rsid w:val="006736B9"/>
    <w:rsid w:val="00673896"/>
    <w:rsid w:val="00674285"/>
    <w:rsid w:val="006756D5"/>
    <w:rsid w:val="00675E4A"/>
    <w:rsid w:val="00676219"/>
    <w:rsid w:val="00676D91"/>
    <w:rsid w:val="006800F0"/>
    <w:rsid w:val="0068078C"/>
    <w:rsid w:val="00680A11"/>
    <w:rsid w:val="00680A9B"/>
    <w:rsid w:val="00680ECA"/>
    <w:rsid w:val="00681071"/>
    <w:rsid w:val="006817CA"/>
    <w:rsid w:val="006819B4"/>
    <w:rsid w:val="00682A58"/>
    <w:rsid w:val="00682B89"/>
    <w:rsid w:val="0068373E"/>
    <w:rsid w:val="0068427A"/>
    <w:rsid w:val="00684B26"/>
    <w:rsid w:val="00684FEB"/>
    <w:rsid w:val="00685186"/>
    <w:rsid w:val="00686C3F"/>
    <w:rsid w:val="00687C22"/>
    <w:rsid w:val="00692C86"/>
    <w:rsid w:val="00693434"/>
    <w:rsid w:val="0069362C"/>
    <w:rsid w:val="00694603"/>
    <w:rsid w:val="00696861"/>
    <w:rsid w:val="006A054B"/>
    <w:rsid w:val="006A1020"/>
    <w:rsid w:val="006A1A19"/>
    <w:rsid w:val="006A25C6"/>
    <w:rsid w:val="006A366B"/>
    <w:rsid w:val="006A7869"/>
    <w:rsid w:val="006A7BDC"/>
    <w:rsid w:val="006A7DC0"/>
    <w:rsid w:val="006B1511"/>
    <w:rsid w:val="006B2F2B"/>
    <w:rsid w:val="006B3B35"/>
    <w:rsid w:val="006B4839"/>
    <w:rsid w:val="006B4E7A"/>
    <w:rsid w:val="006B60BF"/>
    <w:rsid w:val="006B6197"/>
    <w:rsid w:val="006C09D1"/>
    <w:rsid w:val="006C0D68"/>
    <w:rsid w:val="006C1F89"/>
    <w:rsid w:val="006C293D"/>
    <w:rsid w:val="006C2F42"/>
    <w:rsid w:val="006C3ED8"/>
    <w:rsid w:val="006C5106"/>
    <w:rsid w:val="006C53F2"/>
    <w:rsid w:val="006C5A5F"/>
    <w:rsid w:val="006C672A"/>
    <w:rsid w:val="006C7888"/>
    <w:rsid w:val="006D16A1"/>
    <w:rsid w:val="006D23F0"/>
    <w:rsid w:val="006D67BB"/>
    <w:rsid w:val="006D6CC0"/>
    <w:rsid w:val="006D6F98"/>
    <w:rsid w:val="006D7159"/>
    <w:rsid w:val="006E1045"/>
    <w:rsid w:val="006E45FE"/>
    <w:rsid w:val="006E496B"/>
    <w:rsid w:val="006E5C2B"/>
    <w:rsid w:val="006E5FDC"/>
    <w:rsid w:val="006E6CDA"/>
    <w:rsid w:val="006E7F8D"/>
    <w:rsid w:val="006F085C"/>
    <w:rsid w:val="006F094A"/>
    <w:rsid w:val="006F0FBC"/>
    <w:rsid w:val="006F3567"/>
    <w:rsid w:val="006F3E3E"/>
    <w:rsid w:val="006F43F8"/>
    <w:rsid w:val="006F59B2"/>
    <w:rsid w:val="006F6C68"/>
    <w:rsid w:val="006F72D3"/>
    <w:rsid w:val="006F751A"/>
    <w:rsid w:val="00702371"/>
    <w:rsid w:val="00704337"/>
    <w:rsid w:val="00704CB4"/>
    <w:rsid w:val="00706F25"/>
    <w:rsid w:val="007102F2"/>
    <w:rsid w:val="00710590"/>
    <w:rsid w:val="00710DD8"/>
    <w:rsid w:val="007112F2"/>
    <w:rsid w:val="007117E6"/>
    <w:rsid w:val="00713879"/>
    <w:rsid w:val="007151E4"/>
    <w:rsid w:val="00715611"/>
    <w:rsid w:val="007159A8"/>
    <w:rsid w:val="00715B08"/>
    <w:rsid w:val="00716A53"/>
    <w:rsid w:val="0071707B"/>
    <w:rsid w:val="00717A2B"/>
    <w:rsid w:val="00717C3B"/>
    <w:rsid w:val="00717F52"/>
    <w:rsid w:val="007203A1"/>
    <w:rsid w:val="007208A8"/>
    <w:rsid w:val="00720B35"/>
    <w:rsid w:val="00720EA0"/>
    <w:rsid w:val="007215B3"/>
    <w:rsid w:val="0072194C"/>
    <w:rsid w:val="007227DE"/>
    <w:rsid w:val="007253F7"/>
    <w:rsid w:val="00725CF2"/>
    <w:rsid w:val="007278F1"/>
    <w:rsid w:val="00727DF3"/>
    <w:rsid w:val="007301B1"/>
    <w:rsid w:val="007325BA"/>
    <w:rsid w:val="00733591"/>
    <w:rsid w:val="00734071"/>
    <w:rsid w:val="0073426D"/>
    <w:rsid w:val="00734EEF"/>
    <w:rsid w:val="00735E95"/>
    <w:rsid w:val="007369AF"/>
    <w:rsid w:val="0073782E"/>
    <w:rsid w:val="00741D0E"/>
    <w:rsid w:val="007420E7"/>
    <w:rsid w:val="007421F2"/>
    <w:rsid w:val="007436FA"/>
    <w:rsid w:val="007451BF"/>
    <w:rsid w:val="00745488"/>
    <w:rsid w:val="00746722"/>
    <w:rsid w:val="007479DA"/>
    <w:rsid w:val="00751123"/>
    <w:rsid w:val="0075122C"/>
    <w:rsid w:val="0075132B"/>
    <w:rsid w:val="0075286F"/>
    <w:rsid w:val="00752B89"/>
    <w:rsid w:val="00753322"/>
    <w:rsid w:val="00755A74"/>
    <w:rsid w:val="00756716"/>
    <w:rsid w:val="00757067"/>
    <w:rsid w:val="0076113C"/>
    <w:rsid w:val="00761320"/>
    <w:rsid w:val="00761C5F"/>
    <w:rsid w:val="00767A1C"/>
    <w:rsid w:val="0077039B"/>
    <w:rsid w:val="00771510"/>
    <w:rsid w:val="007728FC"/>
    <w:rsid w:val="00773456"/>
    <w:rsid w:val="007736BB"/>
    <w:rsid w:val="00773AAB"/>
    <w:rsid w:val="0077464E"/>
    <w:rsid w:val="00774D3C"/>
    <w:rsid w:val="007770D1"/>
    <w:rsid w:val="007772D1"/>
    <w:rsid w:val="00780797"/>
    <w:rsid w:val="007826AD"/>
    <w:rsid w:val="00783360"/>
    <w:rsid w:val="007837F7"/>
    <w:rsid w:val="007848B1"/>
    <w:rsid w:val="00785CD3"/>
    <w:rsid w:val="007869C5"/>
    <w:rsid w:val="007873E1"/>
    <w:rsid w:val="0078765F"/>
    <w:rsid w:val="007931EB"/>
    <w:rsid w:val="00794845"/>
    <w:rsid w:val="0079499D"/>
    <w:rsid w:val="00794ED0"/>
    <w:rsid w:val="0079524C"/>
    <w:rsid w:val="007956CA"/>
    <w:rsid w:val="00795C10"/>
    <w:rsid w:val="00795E8C"/>
    <w:rsid w:val="00795F00"/>
    <w:rsid w:val="007967B8"/>
    <w:rsid w:val="00797170"/>
    <w:rsid w:val="007A09BE"/>
    <w:rsid w:val="007A0A35"/>
    <w:rsid w:val="007A0E72"/>
    <w:rsid w:val="007A2040"/>
    <w:rsid w:val="007A300C"/>
    <w:rsid w:val="007A33C5"/>
    <w:rsid w:val="007A51F6"/>
    <w:rsid w:val="007A603A"/>
    <w:rsid w:val="007A7EA5"/>
    <w:rsid w:val="007B062A"/>
    <w:rsid w:val="007B0CFF"/>
    <w:rsid w:val="007B0DDD"/>
    <w:rsid w:val="007B1C28"/>
    <w:rsid w:val="007B1DE3"/>
    <w:rsid w:val="007B23D5"/>
    <w:rsid w:val="007B4610"/>
    <w:rsid w:val="007B5330"/>
    <w:rsid w:val="007B61D6"/>
    <w:rsid w:val="007B64F3"/>
    <w:rsid w:val="007B6EA4"/>
    <w:rsid w:val="007B739C"/>
    <w:rsid w:val="007C1375"/>
    <w:rsid w:val="007C1583"/>
    <w:rsid w:val="007C2AE6"/>
    <w:rsid w:val="007C3A9D"/>
    <w:rsid w:val="007C4C2F"/>
    <w:rsid w:val="007C660D"/>
    <w:rsid w:val="007C6744"/>
    <w:rsid w:val="007C6F2A"/>
    <w:rsid w:val="007D13B5"/>
    <w:rsid w:val="007D200D"/>
    <w:rsid w:val="007D2364"/>
    <w:rsid w:val="007D300B"/>
    <w:rsid w:val="007D473C"/>
    <w:rsid w:val="007D568F"/>
    <w:rsid w:val="007E15A4"/>
    <w:rsid w:val="007E2206"/>
    <w:rsid w:val="007E2DDD"/>
    <w:rsid w:val="007E30D9"/>
    <w:rsid w:val="007E3138"/>
    <w:rsid w:val="007E388B"/>
    <w:rsid w:val="007E5920"/>
    <w:rsid w:val="007E5C5B"/>
    <w:rsid w:val="007E7542"/>
    <w:rsid w:val="007E7FD0"/>
    <w:rsid w:val="007F0952"/>
    <w:rsid w:val="007F1358"/>
    <w:rsid w:val="007F13E7"/>
    <w:rsid w:val="007F1649"/>
    <w:rsid w:val="007F1E99"/>
    <w:rsid w:val="007F2A07"/>
    <w:rsid w:val="007F391B"/>
    <w:rsid w:val="007F7F1A"/>
    <w:rsid w:val="00800FCF"/>
    <w:rsid w:val="00801662"/>
    <w:rsid w:val="00803195"/>
    <w:rsid w:val="00803742"/>
    <w:rsid w:val="0080633E"/>
    <w:rsid w:val="00806593"/>
    <w:rsid w:val="0080768B"/>
    <w:rsid w:val="00810A4C"/>
    <w:rsid w:val="008111C3"/>
    <w:rsid w:val="00812844"/>
    <w:rsid w:val="008166C1"/>
    <w:rsid w:val="00816DF1"/>
    <w:rsid w:val="00817286"/>
    <w:rsid w:val="00821835"/>
    <w:rsid w:val="00822322"/>
    <w:rsid w:val="008229E6"/>
    <w:rsid w:val="00822D19"/>
    <w:rsid w:val="008238E6"/>
    <w:rsid w:val="00824004"/>
    <w:rsid w:val="00824343"/>
    <w:rsid w:val="008259E3"/>
    <w:rsid w:val="00825A80"/>
    <w:rsid w:val="00826673"/>
    <w:rsid w:val="00826CDB"/>
    <w:rsid w:val="00830344"/>
    <w:rsid w:val="008307CD"/>
    <w:rsid w:val="00831876"/>
    <w:rsid w:val="00831B4A"/>
    <w:rsid w:val="0083301B"/>
    <w:rsid w:val="00833387"/>
    <w:rsid w:val="00833B24"/>
    <w:rsid w:val="00834619"/>
    <w:rsid w:val="0083479B"/>
    <w:rsid w:val="0083691B"/>
    <w:rsid w:val="00840CD7"/>
    <w:rsid w:val="008411A8"/>
    <w:rsid w:val="008411FB"/>
    <w:rsid w:val="008421F3"/>
    <w:rsid w:val="008435D9"/>
    <w:rsid w:val="008435E1"/>
    <w:rsid w:val="008438F0"/>
    <w:rsid w:val="00843F55"/>
    <w:rsid w:val="00844851"/>
    <w:rsid w:val="00845D72"/>
    <w:rsid w:val="00846784"/>
    <w:rsid w:val="00846AFE"/>
    <w:rsid w:val="00846F91"/>
    <w:rsid w:val="0084740A"/>
    <w:rsid w:val="008475CD"/>
    <w:rsid w:val="00851780"/>
    <w:rsid w:val="00851AF1"/>
    <w:rsid w:val="0085252A"/>
    <w:rsid w:val="00852588"/>
    <w:rsid w:val="00852D6F"/>
    <w:rsid w:val="00853B35"/>
    <w:rsid w:val="00853E41"/>
    <w:rsid w:val="00854DBC"/>
    <w:rsid w:val="0085550F"/>
    <w:rsid w:val="008562D2"/>
    <w:rsid w:val="008573EC"/>
    <w:rsid w:val="00860770"/>
    <w:rsid w:val="008611F3"/>
    <w:rsid w:val="008617BA"/>
    <w:rsid w:val="00862D5C"/>
    <w:rsid w:val="00863EEC"/>
    <w:rsid w:val="00863F75"/>
    <w:rsid w:val="00864275"/>
    <w:rsid w:val="008653B6"/>
    <w:rsid w:val="00865691"/>
    <w:rsid w:val="008661DB"/>
    <w:rsid w:val="00866974"/>
    <w:rsid w:val="0086757E"/>
    <w:rsid w:val="0087129E"/>
    <w:rsid w:val="00872221"/>
    <w:rsid w:val="00873650"/>
    <w:rsid w:val="00874066"/>
    <w:rsid w:val="008740F1"/>
    <w:rsid w:val="008746B3"/>
    <w:rsid w:val="00874852"/>
    <w:rsid w:val="00876DD4"/>
    <w:rsid w:val="00881C46"/>
    <w:rsid w:val="00882172"/>
    <w:rsid w:val="00884A8A"/>
    <w:rsid w:val="008862D7"/>
    <w:rsid w:val="0088690B"/>
    <w:rsid w:val="00893317"/>
    <w:rsid w:val="00893E8D"/>
    <w:rsid w:val="00895B68"/>
    <w:rsid w:val="008964B9"/>
    <w:rsid w:val="00897BC7"/>
    <w:rsid w:val="008A0F3B"/>
    <w:rsid w:val="008A127C"/>
    <w:rsid w:val="008A325D"/>
    <w:rsid w:val="008A329D"/>
    <w:rsid w:val="008A5723"/>
    <w:rsid w:val="008A69B9"/>
    <w:rsid w:val="008B03B9"/>
    <w:rsid w:val="008B200A"/>
    <w:rsid w:val="008B2182"/>
    <w:rsid w:val="008B6061"/>
    <w:rsid w:val="008B60A4"/>
    <w:rsid w:val="008B6D44"/>
    <w:rsid w:val="008C0023"/>
    <w:rsid w:val="008C0C17"/>
    <w:rsid w:val="008C3B90"/>
    <w:rsid w:val="008C431D"/>
    <w:rsid w:val="008C51C4"/>
    <w:rsid w:val="008C67FC"/>
    <w:rsid w:val="008C7CD3"/>
    <w:rsid w:val="008D1414"/>
    <w:rsid w:val="008D1E0E"/>
    <w:rsid w:val="008D32C5"/>
    <w:rsid w:val="008D4383"/>
    <w:rsid w:val="008D68CC"/>
    <w:rsid w:val="008D6CE0"/>
    <w:rsid w:val="008D7924"/>
    <w:rsid w:val="008E0363"/>
    <w:rsid w:val="008E07D4"/>
    <w:rsid w:val="008E086F"/>
    <w:rsid w:val="008E1784"/>
    <w:rsid w:val="008E189F"/>
    <w:rsid w:val="008E1B62"/>
    <w:rsid w:val="008E1CB5"/>
    <w:rsid w:val="008E33CF"/>
    <w:rsid w:val="008E3A29"/>
    <w:rsid w:val="008E4AE7"/>
    <w:rsid w:val="008E504F"/>
    <w:rsid w:val="008F074A"/>
    <w:rsid w:val="008F1334"/>
    <w:rsid w:val="008F13B3"/>
    <w:rsid w:val="008F1EA6"/>
    <w:rsid w:val="008F1F60"/>
    <w:rsid w:val="008F42E8"/>
    <w:rsid w:val="008F49DC"/>
    <w:rsid w:val="008F4B3E"/>
    <w:rsid w:val="008F66D3"/>
    <w:rsid w:val="008F6A43"/>
    <w:rsid w:val="008F6A46"/>
    <w:rsid w:val="008F6A83"/>
    <w:rsid w:val="008F71C8"/>
    <w:rsid w:val="00901140"/>
    <w:rsid w:val="009038E7"/>
    <w:rsid w:val="00903D9F"/>
    <w:rsid w:val="00903EC7"/>
    <w:rsid w:val="00904032"/>
    <w:rsid w:val="009061EF"/>
    <w:rsid w:val="009071A6"/>
    <w:rsid w:val="00907477"/>
    <w:rsid w:val="00907ED5"/>
    <w:rsid w:val="0091015E"/>
    <w:rsid w:val="00911FD2"/>
    <w:rsid w:val="00912E9D"/>
    <w:rsid w:val="00913434"/>
    <w:rsid w:val="0091350E"/>
    <w:rsid w:val="00915A0C"/>
    <w:rsid w:val="00916E57"/>
    <w:rsid w:val="0091726B"/>
    <w:rsid w:val="009205C2"/>
    <w:rsid w:val="00920AD4"/>
    <w:rsid w:val="0092157D"/>
    <w:rsid w:val="0092176E"/>
    <w:rsid w:val="00930823"/>
    <w:rsid w:val="00934C07"/>
    <w:rsid w:val="00934E90"/>
    <w:rsid w:val="009414F7"/>
    <w:rsid w:val="00942D12"/>
    <w:rsid w:val="00945261"/>
    <w:rsid w:val="00945783"/>
    <w:rsid w:val="00947A56"/>
    <w:rsid w:val="00950516"/>
    <w:rsid w:val="0095291F"/>
    <w:rsid w:val="009539F1"/>
    <w:rsid w:val="00953A30"/>
    <w:rsid w:val="0095500D"/>
    <w:rsid w:val="00955138"/>
    <w:rsid w:val="00955306"/>
    <w:rsid w:val="0095542C"/>
    <w:rsid w:val="009566AC"/>
    <w:rsid w:val="00956C76"/>
    <w:rsid w:val="00957619"/>
    <w:rsid w:val="00957BA9"/>
    <w:rsid w:val="009602A1"/>
    <w:rsid w:val="00960958"/>
    <w:rsid w:val="00966DBD"/>
    <w:rsid w:val="0097039E"/>
    <w:rsid w:val="009723AE"/>
    <w:rsid w:val="00972821"/>
    <w:rsid w:val="00972CF2"/>
    <w:rsid w:val="00973F52"/>
    <w:rsid w:val="0097486E"/>
    <w:rsid w:val="00974EDD"/>
    <w:rsid w:val="00975178"/>
    <w:rsid w:val="00976D75"/>
    <w:rsid w:val="00977116"/>
    <w:rsid w:val="00980C0B"/>
    <w:rsid w:val="0098182B"/>
    <w:rsid w:val="00982C0D"/>
    <w:rsid w:val="00982DC4"/>
    <w:rsid w:val="00983642"/>
    <w:rsid w:val="00984897"/>
    <w:rsid w:val="0098580E"/>
    <w:rsid w:val="00987D1F"/>
    <w:rsid w:val="00990D27"/>
    <w:rsid w:val="00991588"/>
    <w:rsid w:val="009915C7"/>
    <w:rsid w:val="00991B15"/>
    <w:rsid w:val="00992010"/>
    <w:rsid w:val="00992D60"/>
    <w:rsid w:val="00993F96"/>
    <w:rsid w:val="00994070"/>
    <w:rsid w:val="00995C79"/>
    <w:rsid w:val="00996BC7"/>
    <w:rsid w:val="00997940"/>
    <w:rsid w:val="009A044C"/>
    <w:rsid w:val="009A15A0"/>
    <w:rsid w:val="009A1DD0"/>
    <w:rsid w:val="009A21E4"/>
    <w:rsid w:val="009A403F"/>
    <w:rsid w:val="009A59F5"/>
    <w:rsid w:val="009A7620"/>
    <w:rsid w:val="009A79F2"/>
    <w:rsid w:val="009B0F0B"/>
    <w:rsid w:val="009B23DE"/>
    <w:rsid w:val="009B2512"/>
    <w:rsid w:val="009B4366"/>
    <w:rsid w:val="009B4B00"/>
    <w:rsid w:val="009B6692"/>
    <w:rsid w:val="009B669F"/>
    <w:rsid w:val="009C1694"/>
    <w:rsid w:val="009C1CFE"/>
    <w:rsid w:val="009C25DB"/>
    <w:rsid w:val="009C53E8"/>
    <w:rsid w:val="009D005A"/>
    <w:rsid w:val="009D0D90"/>
    <w:rsid w:val="009D1BF3"/>
    <w:rsid w:val="009D1F38"/>
    <w:rsid w:val="009D1F41"/>
    <w:rsid w:val="009D2317"/>
    <w:rsid w:val="009D26B4"/>
    <w:rsid w:val="009D6E1A"/>
    <w:rsid w:val="009D77D7"/>
    <w:rsid w:val="009E1740"/>
    <w:rsid w:val="009E237B"/>
    <w:rsid w:val="009E3096"/>
    <w:rsid w:val="009E37CE"/>
    <w:rsid w:val="009E52F4"/>
    <w:rsid w:val="009E5D83"/>
    <w:rsid w:val="009E5E51"/>
    <w:rsid w:val="009E5E7A"/>
    <w:rsid w:val="009E6BDA"/>
    <w:rsid w:val="009E7880"/>
    <w:rsid w:val="009E7AF5"/>
    <w:rsid w:val="009F0C73"/>
    <w:rsid w:val="009F1A9A"/>
    <w:rsid w:val="009F1F8D"/>
    <w:rsid w:val="009F2D2F"/>
    <w:rsid w:val="009F3B0A"/>
    <w:rsid w:val="009F3B9E"/>
    <w:rsid w:val="009F41E2"/>
    <w:rsid w:val="009F4B75"/>
    <w:rsid w:val="009F4CF8"/>
    <w:rsid w:val="009F4F81"/>
    <w:rsid w:val="009F5221"/>
    <w:rsid w:val="009F6DB3"/>
    <w:rsid w:val="009F7235"/>
    <w:rsid w:val="009F77AF"/>
    <w:rsid w:val="009F7DA1"/>
    <w:rsid w:val="00A01C26"/>
    <w:rsid w:val="00A04A2F"/>
    <w:rsid w:val="00A04DDE"/>
    <w:rsid w:val="00A05784"/>
    <w:rsid w:val="00A05C82"/>
    <w:rsid w:val="00A05FAB"/>
    <w:rsid w:val="00A06C32"/>
    <w:rsid w:val="00A076C0"/>
    <w:rsid w:val="00A10527"/>
    <w:rsid w:val="00A1138B"/>
    <w:rsid w:val="00A128E2"/>
    <w:rsid w:val="00A13AE2"/>
    <w:rsid w:val="00A14F52"/>
    <w:rsid w:val="00A15375"/>
    <w:rsid w:val="00A153F5"/>
    <w:rsid w:val="00A15C91"/>
    <w:rsid w:val="00A1631C"/>
    <w:rsid w:val="00A16D1D"/>
    <w:rsid w:val="00A1792F"/>
    <w:rsid w:val="00A2037B"/>
    <w:rsid w:val="00A21044"/>
    <w:rsid w:val="00A217B1"/>
    <w:rsid w:val="00A2456A"/>
    <w:rsid w:val="00A278C9"/>
    <w:rsid w:val="00A30914"/>
    <w:rsid w:val="00A31D06"/>
    <w:rsid w:val="00A332BD"/>
    <w:rsid w:val="00A333FC"/>
    <w:rsid w:val="00A356CD"/>
    <w:rsid w:val="00A35964"/>
    <w:rsid w:val="00A36D0D"/>
    <w:rsid w:val="00A36E8B"/>
    <w:rsid w:val="00A36ECD"/>
    <w:rsid w:val="00A3712A"/>
    <w:rsid w:val="00A41787"/>
    <w:rsid w:val="00A42C1A"/>
    <w:rsid w:val="00A44BBB"/>
    <w:rsid w:val="00A457EE"/>
    <w:rsid w:val="00A45E8E"/>
    <w:rsid w:val="00A504D1"/>
    <w:rsid w:val="00A50C97"/>
    <w:rsid w:val="00A5440E"/>
    <w:rsid w:val="00A54487"/>
    <w:rsid w:val="00A55E9F"/>
    <w:rsid w:val="00A566AB"/>
    <w:rsid w:val="00A61988"/>
    <w:rsid w:val="00A63223"/>
    <w:rsid w:val="00A64D9B"/>
    <w:rsid w:val="00A66B5C"/>
    <w:rsid w:val="00A679F3"/>
    <w:rsid w:val="00A709E0"/>
    <w:rsid w:val="00A710CD"/>
    <w:rsid w:val="00A71EE4"/>
    <w:rsid w:val="00A73FB8"/>
    <w:rsid w:val="00A74091"/>
    <w:rsid w:val="00A752B2"/>
    <w:rsid w:val="00A779D2"/>
    <w:rsid w:val="00A80A11"/>
    <w:rsid w:val="00A80DD5"/>
    <w:rsid w:val="00A81533"/>
    <w:rsid w:val="00A82B26"/>
    <w:rsid w:val="00A83330"/>
    <w:rsid w:val="00A83E01"/>
    <w:rsid w:val="00A84F46"/>
    <w:rsid w:val="00A908B4"/>
    <w:rsid w:val="00A91A75"/>
    <w:rsid w:val="00A93F49"/>
    <w:rsid w:val="00A9424B"/>
    <w:rsid w:val="00A946FF"/>
    <w:rsid w:val="00A95216"/>
    <w:rsid w:val="00A95A95"/>
    <w:rsid w:val="00A97A50"/>
    <w:rsid w:val="00A97F8A"/>
    <w:rsid w:val="00AA014D"/>
    <w:rsid w:val="00AA0988"/>
    <w:rsid w:val="00AA219C"/>
    <w:rsid w:val="00AA2B5B"/>
    <w:rsid w:val="00AA2DF7"/>
    <w:rsid w:val="00AA3AF7"/>
    <w:rsid w:val="00AA3B84"/>
    <w:rsid w:val="00AA4B0C"/>
    <w:rsid w:val="00AB10D6"/>
    <w:rsid w:val="00AB3B3B"/>
    <w:rsid w:val="00AB43ED"/>
    <w:rsid w:val="00AB4788"/>
    <w:rsid w:val="00AB72E8"/>
    <w:rsid w:val="00AB79A7"/>
    <w:rsid w:val="00AC08C3"/>
    <w:rsid w:val="00AC155C"/>
    <w:rsid w:val="00AC1C56"/>
    <w:rsid w:val="00AC2184"/>
    <w:rsid w:val="00AC374B"/>
    <w:rsid w:val="00AC78D3"/>
    <w:rsid w:val="00AC7A16"/>
    <w:rsid w:val="00AD0A3E"/>
    <w:rsid w:val="00AD0F67"/>
    <w:rsid w:val="00AD14C4"/>
    <w:rsid w:val="00AD2286"/>
    <w:rsid w:val="00AD254B"/>
    <w:rsid w:val="00AD2CDC"/>
    <w:rsid w:val="00AD2F32"/>
    <w:rsid w:val="00AD32E9"/>
    <w:rsid w:val="00AD347D"/>
    <w:rsid w:val="00AD503D"/>
    <w:rsid w:val="00AD5349"/>
    <w:rsid w:val="00AD5D7C"/>
    <w:rsid w:val="00AD66DB"/>
    <w:rsid w:val="00AD6952"/>
    <w:rsid w:val="00AD7CFC"/>
    <w:rsid w:val="00AE43AD"/>
    <w:rsid w:val="00AE4649"/>
    <w:rsid w:val="00AE49E1"/>
    <w:rsid w:val="00AE56A6"/>
    <w:rsid w:val="00AE574E"/>
    <w:rsid w:val="00AE607D"/>
    <w:rsid w:val="00AE6C85"/>
    <w:rsid w:val="00AE76A2"/>
    <w:rsid w:val="00AE7954"/>
    <w:rsid w:val="00AE7B19"/>
    <w:rsid w:val="00AE7FCC"/>
    <w:rsid w:val="00AF0198"/>
    <w:rsid w:val="00AF0253"/>
    <w:rsid w:val="00AF08CC"/>
    <w:rsid w:val="00AF0CA1"/>
    <w:rsid w:val="00AF15DF"/>
    <w:rsid w:val="00AF1BF4"/>
    <w:rsid w:val="00AF2360"/>
    <w:rsid w:val="00AF47BB"/>
    <w:rsid w:val="00AF5211"/>
    <w:rsid w:val="00AF5F2F"/>
    <w:rsid w:val="00AF69BF"/>
    <w:rsid w:val="00AF6CCE"/>
    <w:rsid w:val="00AF6F95"/>
    <w:rsid w:val="00AF7C4E"/>
    <w:rsid w:val="00AF7D80"/>
    <w:rsid w:val="00B01602"/>
    <w:rsid w:val="00B01736"/>
    <w:rsid w:val="00B02506"/>
    <w:rsid w:val="00B026C7"/>
    <w:rsid w:val="00B02889"/>
    <w:rsid w:val="00B02F07"/>
    <w:rsid w:val="00B04BC6"/>
    <w:rsid w:val="00B05818"/>
    <w:rsid w:val="00B05ADC"/>
    <w:rsid w:val="00B113D5"/>
    <w:rsid w:val="00B11478"/>
    <w:rsid w:val="00B12F7A"/>
    <w:rsid w:val="00B13BB4"/>
    <w:rsid w:val="00B1427C"/>
    <w:rsid w:val="00B14C98"/>
    <w:rsid w:val="00B15D50"/>
    <w:rsid w:val="00B16866"/>
    <w:rsid w:val="00B169CD"/>
    <w:rsid w:val="00B16CBF"/>
    <w:rsid w:val="00B20D27"/>
    <w:rsid w:val="00B2151B"/>
    <w:rsid w:val="00B219FC"/>
    <w:rsid w:val="00B226C5"/>
    <w:rsid w:val="00B2272E"/>
    <w:rsid w:val="00B228AA"/>
    <w:rsid w:val="00B23497"/>
    <w:rsid w:val="00B26230"/>
    <w:rsid w:val="00B27118"/>
    <w:rsid w:val="00B27AB8"/>
    <w:rsid w:val="00B27BC1"/>
    <w:rsid w:val="00B32CCA"/>
    <w:rsid w:val="00B3382D"/>
    <w:rsid w:val="00B34095"/>
    <w:rsid w:val="00B357EE"/>
    <w:rsid w:val="00B36941"/>
    <w:rsid w:val="00B3751B"/>
    <w:rsid w:val="00B40D9E"/>
    <w:rsid w:val="00B41A82"/>
    <w:rsid w:val="00B42696"/>
    <w:rsid w:val="00B42B7D"/>
    <w:rsid w:val="00B43250"/>
    <w:rsid w:val="00B4389D"/>
    <w:rsid w:val="00B44D0D"/>
    <w:rsid w:val="00B44FD4"/>
    <w:rsid w:val="00B537FB"/>
    <w:rsid w:val="00B56335"/>
    <w:rsid w:val="00B56718"/>
    <w:rsid w:val="00B57FA9"/>
    <w:rsid w:val="00B613CC"/>
    <w:rsid w:val="00B6210A"/>
    <w:rsid w:val="00B6280E"/>
    <w:rsid w:val="00B632CF"/>
    <w:rsid w:val="00B64024"/>
    <w:rsid w:val="00B64486"/>
    <w:rsid w:val="00B65611"/>
    <w:rsid w:val="00B66B53"/>
    <w:rsid w:val="00B67369"/>
    <w:rsid w:val="00B700B7"/>
    <w:rsid w:val="00B76215"/>
    <w:rsid w:val="00B77F76"/>
    <w:rsid w:val="00B801CD"/>
    <w:rsid w:val="00B80C7D"/>
    <w:rsid w:val="00B82404"/>
    <w:rsid w:val="00B82579"/>
    <w:rsid w:val="00B82DBA"/>
    <w:rsid w:val="00B82FC9"/>
    <w:rsid w:val="00B83130"/>
    <w:rsid w:val="00B83846"/>
    <w:rsid w:val="00B83F1D"/>
    <w:rsid w:val="00B84667"/>
    <w:rsid w:val="00B85F18"/>
    <w:rsid w:val="00B867A6"/>
    <w:rsid w:val="00B868C9"/>
    <w:rsid w:val="00B9208B"/>
    <w:rsid w:val="00B92F7B"/>
    <w:rsid w:val="00B951D8"/>
    <w:rsid w:val="00B9713F"/>
    <w:rsid w:val="00B971DD"/>
    <w:rsid w:val="00B97D66"/>
    <w:rsid w:val="00BA089D"/>
    <w:rsid w:val="00BA1B28"/>
    <w:rsid w:val="00BA2DBE"/>
    <w:rsid w:val="00BA35B7"/>
    <w:rsid w:val="00BA3E2E"/>
    <w:rsid w:val="00BA3ECD"/>
    <w:rsid w:val="00BA5824"/>
    <w:rsid w:val="00BA5BE3"/>
    <w:rsid w:val="00BA5EB1"/>
    <w:rsid w:val="00BA70DB"/>
    <w:rsid w:val="00BA70E7"/>
    <w:rsid w:val="00BA7A52"/>
    <w:rsid w:val="00BB0AB2"/>
    <w:rsid w:val="00BB2733"/>
    <w:rsid w:val="00BB2828"/>
    <w:rsid w:val="00BB2B35"/>
    <w:rsid w:val="00BB2B96"/>
    <w:rsid w:val="00BB39FF"/>
    <w:rsid w:val="00BB3A5C"/>
    <w:rsid w:val="00BB48D2"/>
    <w:rsid w:val="00BB55F7"/>
    <w:rsid w:val="00BB6DFE"/>
    <w:rsid w:val="00BB6E4A"/>
    <w:rsid w:val="00BB70EA"/>
    <w:rsid w:val="00BB7398"/>
    <w:rsid w:val="00BB7F95"/>
    <w:rsid w:val="00BC09FA"/>
    <w:rsid w:val="00BC2ED5"/>
    <w:rsid w:val="00BC3A36"/>
    <w:rsid w:val="00BC57FF"/>
    <w:rsid w:val="00BC603C"/>
    <w:rsid w:val="00BC76C6"/>
    <w:rsid w:val="00BC7CE7"/>
    <w:rsid w:val="00BD01EE"/>
    <w:rsid w:val="00BD0B6A"/>
    <w:rsid w:val="00BD1227"/>
    <w:rsid w:val="00BD37D7"/>
    <w:rsid w:val="00BD47B6"/>
    <w:rsid w:val="00BD617E"/>
    <w:rsid w:val="00BE03E9"/>
    <w:rsid w:val="00BE0941"/>
    <w:rsid w:val="00BE1E32"/>
    <w:rsid w:val="00BE2E41"/>
    <w:rsid w:val="00BE305B"/>
    <w:rsid w:val="00BE519A"/>
    <w:rsid w:val="00BE5294"/>
    <w:rsid w:val="00BE5F47"/>
    <w:rsid w:val="00BE6618"/>
    <w:rsid w:val="00BE6710"/>
    <w:rsid w:val="00BE7A7D"/>
    <w:rsid w:val="00BE7EFB"/>
    <w:rsid w:val="00BF0476"/>
    <w:rsid w:val="00BF2416"/>
    <w:rsid w:val="00BF4375"/>
    <w:rsid w:val="00BF619D"/>
    <w:rsid w:val="00BF691B"/>
    <w:rsid w:val="00BF6DFE"/>
    <w:rsid w:val="00BF7F75"/>
    <w:rsid w:val="00C01030"/>
    <w:rsid w:val="00C023C8"/>
    <w:rsid w:val="00C05C70"/>
    <w:rsid w:val="00C05DC8"/>
    <w:rsid w:val="00C05E4D"/>
    <w:rsid w:val="00C06AE5"/>
    <w:rsid w:val="00C11072"/>
    <w:rsid w:val="00C12887"/>
    <w:rsid w:val="00C17E6C"/>
    <w:rsid w:val="00C21EF5"/>
    <w:rsid w:val="00C237CF"/>
    <w:rsid w:val="00C240E3"/>
    <w:rsid w:val="00C2427F"/>
    <w:rsid w:val="00C25CAF"/>
    <w:rsid w:val="00C25E11"/>
    <w:rsid w:val="00C262FD"/>
    <w:rsid w:val="00C26B91"/>
    <w:rsid w:val="00C26DA1"/>
    <w:rsid w:val="00C328FB"/>
    <w:rsid w:val="00C32A8E"/>
    <w:rsid w:val="00C32E2E"/>
    <w:rsid w:val="00C33D8C"/>
    <w:rsid w:val="00C33DFC"/>
    <w:rsid w:val="00C343F6"/>
    <w:rsid w:val="00C34D65"/>
    <w:rsid w:val="00C355AC"/>
    <w:rsid w:val="00C360C5"/>
    <w:rsid w:val="00C37E11"/>
    <w:rsid w:val="00C412A9"/>
    <w:rsid w:val="00C4153E"/>
    <w:rsid w:val="00C41AF1"/>
    <w:rsid w:val="00C41B5E"/>
    <w:rsid w:val="00C42738"/>
    <w:rsid w:val="00C43209"/>
    <w:rsid w:val="00C43921"/>
    <w:rsid w:val="00C43996"/>
    <w:rsid w:val="00C44009"/>
    <w:rsid w:val="00C44D70"/>
    <w:rsid w:val="00C4658F"/>
    <w:rsid w:val="00C479C4"/>
    <w:rsid w:val="00C502C3"/>
    <w:rsid w:val="00C50CFA"/>
    <w:rsid w:val="00C52C5D"/>
    <w:rsid w:val="00C54061"/>
    <w:rsid w:val="00C545F8"/>
    <w:rsid w:val="00C54735"/>
    <w:rsid w:val="00C54E76"/>
    <w:rsid w:val="00C54F7C"/>
    <w:rsid w:val="00C55027"/>
    <w:rsid w:val="00C560A1"/>
    <w:rsid w:val="00C566A1"/>
    <w:rsid w:val="00C57924"/>
    <w:rsid w:val="00C60C5E"/>
    <w:rsid w:val="00C61D0E"/>
    <w:rsid w:val="00C625F3"/>
    <w:rsid w:val="00C63E1D"/>
    <w:rsid w:val="00C649DB"/>
    <w:rsid w:val="00C66B96"/>
    <w:rsid w:val="00C67080"/>
    <w:rsid w:val="00C67393"/>
    <w:rsid w:val="00C713B2"/>
    <w:rsid w:val="00C72B79"/>
    <w:rsid w:val="00C74B97"/>
    <w:rsid w:val="00C76DD8"/>
    <w:rsid w:val="00C81EFB"/>
    <w:rsid w:val="00C85752"/>
    <w:rsid w:val="00C86C3C"/>
    <w:rsid w:val="00C90E12"/>
    <w:rsid w:val="00C9167E"/>
    <w:rsid w:val="00C935BC"/>
    <w:rsid w:val="00C9382E"/>
    <w:rsid w:val="00C94228"/>
    <w:rsid w:val="00C94C29"/>
    <w:rsid w:val="00C95087"/>
    <w:rsid w:val="00C97401"/>
    <w:rsid w:val="00CA03AA"/>
    <w:rsid w:val="00CA0C71"/>
    <w:rsid w:val="00CA152E"/>
    <w:rsid w:val="00CA16C2"/>
    <w:rsid w:val="00CA1E09"/>
    <w:rsid w:val="00CA2F4F"/>
    <w:rsid w:val="00CA357F"/>
    <w:rsid w:val="00CA4DED"/>
    <w:rsid w:val="00CB0E68"/>
    <w:rsid w:val="00CB1789"/>
    <w:rsid w:val="00CB2BA7"/>
    <w:rsid w:val="00CB2C5A"/>
    <w:rsid w:val="00CB360C"/>
    <w:rsid w:val="00CB3F3F"/>
    <w:rsid w:val="00CB47AF"/>
    <w:rsid w:val="00CB5279"/>
    <w:rsid w:val="00CB5390"/>
    <w:rsid w:val="00CB541D"/>
    <w:rsid w:val="00CB5959"/>
    <w:rsid w:val="00CB63FE"/>
    <w:rsid w:val="00CB6EFE"/>
    <w:rsid w:val="00CB7287"/>
    <w:rsid w:val="00CC0002"/>
    <w:rsid w:val="00CC27FE"/>
    <w:rsid w:val="00CC2DFB"/>
    <w:rsid w:val="00CC3226"/>
    <w:rsid w:val="00CC41B0"/>
    <w:rsid w:val="00CC50BC"/>
    <w:rsid w:val="00CC5CE9"/>
    <w:rsid w:val="00CC668B"/>
    <w:rsid w:val="00CC71A2"/>
    <w:rsid w:val="00CC787D"/>
    <w:rsid w:val="00CC799C"/>
    <w:rsid w:val="00CD1127"/>
    <w:rsid w:val="00CD27CA"/>
    <w:rsid w:val="00CD284B"/>
    <w:rsid w:val="00CD32DF"/>
    <w:rsid w:val="00CD47A4"/>
    <w:rsid w:val="00CD4ED1"/>
    <w:rsid w:val="00CD5227"/>
    <w:rsid w:val="00CD5526"/>
    <w:rsid w:val="00CD55F0"/>
    <w:rsid w:val="00CD6EBB"/>
    <w:rsid w:val="00CE2E53"/>
    <w:rsid w:val="00CE3361"/>
    <w:rsid w:val="00CE3715"/>
    <w:rsid w:val="00CE37F8"/>
    <w:rsid w:val="00CE3CB1"/>
    <w:rsid w:val="00CE4010"/>
    <w:rsid w:val="00CE4165"/>
    <w:rsid w:val="00CE4A4A"/>
    <w:rsid w:val="00CE6B7D"/>
    <w:rsid w:val="00CE6DD0"/>
    <w:rsid w:val="00CE71B0"/>
    <w:rsid w:val="00CF08A0"/>
    <w:rsid w:val="00CF3780"/>
    <w:rsid w:val="00CF62AA"/>
    <w:rsid w:val="00CF7780"/>
    <w:rsid w:val="00D019B8"/>
    <w:rsid w:val="00D0325B"/>
    <w:rsid w:val="00D03D73"/>
    <w:rsid w:val="00D040E1"/>
    <w:rsid w:val="00D041BB"/>
    <w:rsid w:val="00D04DFA"/>
    <w:rsid w:val="00D0652F"/>
    <w:rsid w:val="00D0730C"/>
    <w:rsid w:val="00D07FFB"/>
    <w:rsid w:val="00D10E98"/>
    <w:rsid w:val="00D11AAB"/>
    <w:rsid w:val="00D1275F"/>
    <w:rsid w:val="00D1345B"/>
    <w:rsid w:val="00D15323"/>
    <w:rsid w:val="00D160BC"/>
    <w:rsid w:val="00D176B8"/>
    <w:rsid w:val="00D202CF"/>
    <w:rsid w:val="00D209C9"/>
    <w:rsid w:val="00D212C2"/>
    <w:rsid w:val="00D21D6E"/>
    <w:rsid w:val="00D2322B"/>
    <w:rsid w:val="00D23C1B"/>
    <w:rsid w:val="00D24551"/>
    <w:rsid w:val="00D25328"/>
    <w:rsid w:val="00D255EB"/>
    <w:rsid w:val="00D27488"/>
    <w:rsid w:val="00D27CFA"/>
    <w:rsid w:val="00D30136"/>
    <w:rsid w:val="00D30C00"/>
    <w:rsid w:val="00D32317"/>
    <w:rsid w:val="00D334B2"/>
    <w:rsid w:val="00D36099"/>
    <w:rsid w:val="00D41078"/>
    <w:rsid w:val="00D423E1"/>
    <w:rsid w:val="00D426E4"/>
    <w:rsid w:val="00D43248"/>
    <w:rsid w:val="00D4398F"/>
    <w:rsid w:val="00D4427D"/>
    <w:rsid w:val="00D44728"/>
    <w:rsid w:val="00D44AEC"/>
    <w:rsid w:val="00D44D64"/>
    <w:rsid w:val="00D44FC4"/>
    <w:rsid w:val="00D451F1"/>
    <w:rsid w:val="00D45766"/>
    <w:rsid w:val="00D457A2"/>
    <w:rsid w:val="00D47633"/>
    <w:rsid w:val="00D47726"/>
    <w:rsid w:val="00D5072F"/>
    <w:rsid w:val="00D51487"/>
    <w:rsid w:val="00D51601"/>
    <w:rsid w:val="00D529B4"/>
    <w:rsid w:val="00D57C91"/>
    <w:rsid w:val="00D625F4"/>
    <w:rsid w:val="00D652AB"/>
    <w:rsid w:val="00D65811"/>
    <w:rsid w:val="00D6606B"/>
    <w:rsid w:val="00D6697D"/>
    <w:rsid w:val="00D66EE7"/>
    <w:rsid w:val="00D672FA"/>
    <w:rsid w:val="00D6758B"/>
    <w:rsid w:val="00D74722"/>
    <w:rsid w:val="00D74E6F"/>
    <w:rsid w:val="00D75F11"/>
    <w:rsid w:val="00D76DD8"/>
    <w:rsid w:val="00D77225"/>
    <w:rsid w:val="00D77988"/>
    <w:rsid w:val="00D800D0"/>
    <w:rsid w:val="00D81D92"/>
    <w:rsid w:val="00D84C36"/>
    <w:rsid w:val="00D85D5E"/>
    <w:rsid w:val="00D863A5"/>
    <w:rsid w:val="00D86736"/>
    <w:rsid w:val="00D86D56"/>
    <w:rsid w:val="00D87020"/>
    <w:rsid w:val="00D8719A"/>
    <w:rsid w:val="00D87A59"/>
    <w:rsid w:val="00D91EEA"/>
    <w:rsid w:val="00D92318"/>
    <w:rsid w:val="00D931BF"/>
    <w:rsid w:val="00D95004"/>
    <w:rsid w:val="00D951B1"/>
    <w:rsid w:val="00D95EBA"/>
    <w:rsid w:val="00D9629D"/>
    <w:rsid w:val="00D965E9"/>
    <w:rsid w:val="00D97737"/>
    <w:rsid w:val="00D97969"/>
    <w:rsid w:val="00DA0421"/>
    <w:rsid w:val="00DA0CF3"/>
    <w:rsid w:val="00DA2026"/>
    <w:rsid w:val="00DA2A1A"/>
    <w:rsid w:val="00DA2F25"/>
    <w:rsid w:val="00DA3ED0"/>
    <w:rsid w:val="00DA5FEF"/>
    <w:rsid w:val="00DA6A32"/>
    <w:rsid w:val="00DB0E1A"/>
    <w:rsid w:val="00DB1A8C"/>
    <w:rsid w:val="00DB2372"/>
    <w:rsid w:val="00DB301F"/>
    <w:rsid w:val="00DB3E13"/>
    <w:rsid w:val="00DB537A"/>
    <w:rsid w:val="00DB5646"/>
    <w:rsid w:val="00DB5876"/>
    <w:rsid w:val="00DB736B"/>
    <w:rsid w:val="00DB7A22"/>
    <w:rsid w:val="00DC02E0"/>
    <w:rsid w:val="00DC671E"/>
    <w:rsid w:val="00DD0C1B"/>
    <w:rsid w:val="00DD17E8"/>
    <w:rsid w:val="00DD1C5D"/>
    <w:rsid w:val="00DD2142"/>
    <w:rsid w:val="00DD29F0"/>
    <w:rsid w:val="00DD3180"/>
    <w:rsid w:val="00DD3A8A"/>
    <w:rsid w:val="00DD3F21"/>
    <w:rsid w:val="00DD7312"/>
    <w:rsid w:val="00DE0C8A"/>
    <w:rsid w:val="00DE1133"/>
    <w:rsid w:val="00DE2029"/>
    <w:rsid w:val="00DE2CA5"/>
    <w:rsid w:val="00DE433A"/>
    <w:rsid w:val="00DE516D"/>
    <w:rsid w:val="00DE60FA"/>
    <w:rsid w:val="00DE64F7"/>
    <w:rsid w:val="00DE724B"/>
    <w:rsid w:val="00DE7659"/>
    <w:rsid w:val="00DF2559"/>
    <w:rsid w:val="00DF2686"/>
    <w:rsid w:val="00DF26B2"/>
    <w:rsid w:val="00DF378D"/>
    <w:rsid w:val="00DF5AC5"/>
    <w:rsid w:val="00DF60DB"/>
    <w:rsid w:val="00DF61C6"/>
    <w:rsid w:val="00DF7A84"/>
    <w:rsid w:val="00E001FA"/>
    <w:rsid w:val="00E00BD1"/>
    <w:rsid w:val="00E01EDC"/>
    <w:rsid w:val="00E0217B"/>
    <w:rsid w:val="00E02A69"/>
    <w:rsid w:val="00E0367B"/>
    <w:rsid w:val="00E042BB"/>
    <w:rsid w:val="00E04488"/>
    <w:rsid w:val="00E05022"/>
    <w:rsid w:val="00E06199"/>
    <w:rsid w:val="00E105BD"/>
    <w:rsid w:val="00E10C0B"/>
    <w:rsid w:val="00E110AF"/>
    <w:rsid w:val="00E11A0A"/>
    <w:rsid w:val="00E13B13"/>
    <w:rsid w:val="00E14E1B"/>
    <w:rsid w:val="00E1505B"/>
    <w:rsid w:val="00E150AB"/>
    <w:rsid w:val="00E17D23"/>
    <w:rsid w:val="00E22858"/>
    <w:rsid w:val="00E22FDE"/>
    <w:rsid w:val="00E233A5"/>
    <w:rsid w:val="00E235BE"/>
    <w:rsid w:val="00E238CE"/>
    <w:rsid w:val="00E26323"/>
    <w:rsid w:val="00E30382"/>
    <w:rsid w:val="00E32733"/>
    <w:rsid w:val="00E33614"/>
    <w:rsid w:val="00E344AA"/>
    <w:rsid w:val="00E36698"/>
    <w:rsid w:val="00E37090"/>
    <w:rsid w:val="00E370F5"/>
    <w:rsid w:val="00E3756E"/>
    <w:rsid w:val="00E37E41"/>
    <w:rsid w:val="00E402E5"/>
    <w:rsid w:val="00E4096E"/>
    <w:rsid w:val="00E41225"/>
    <w:rsid w:val="00E42A71"/>
    <w:rsid w:val="00E43F9E"/>
    <w:rsid w:val="00E44A5E"/>
    <w:rsid w:val="00E45083"/>
    <w:rsid w:val="00E4635B"/>
    <w:rsid w:val="00E469DB"/>
    <w:rsid w:val="00E5000B"/>
    <w:rsid w:val="00E51737"/>
    <w:rsid w:val="00E558C2"/>
    <w:rsid w:val="00E55C0D"/>
    <w:rsid w:val="00E561CF"/>
    <w:rsid w:val="00E56E11"/>
    <w:rsid w:val="00E56FFA"/>
    <w:rsid w:val="00E57B6A"/>
    <w:rsid w:val="00E60164"/>
    <w:rsid w:val="00E63871"/>
    <w:rsid w:val="00E66A04"/>
    <w:rsid w:val="00E67EC2"/>
    <w:rsid w:val="00E718E9"/>
    <w:rsid w:val="00E726AE"/>
    <w:rsid w:val="00E72E26"/>
    <w:rsid w:val="00E740DA"/>
    <w:rsid w:val="00E74E26"/>
    <w:rsid w:val="00E750EB"/>
    <w:rsid w:val="00E75E7B"/>
    <w:rsid w:val="00E76686"/>
    <w:rsid w:val="00E7677B"/>
    <w:rsid w:val="00E81433"/>
    <w:rsid w:val="00E87039"/>
    <w:rsid w:val="00E87041"/>
    <w:rsid w:val="00E87F0C"/>
    <w:rsid w:val="00E90EA5"/>
    <w:rsid w:val="00E91438"/>
    <w:rsid w:val="00E9338A"/>
    <w:rsid w:val="00E933DB"/>
    <w:rsid w:val="00E94564"/>
    <w:rsid w:val="00E94BF5"/>
    <w:rsid w:val="00E9763C"/>
    <w:rsid w:val="00E97A4B"/>
    <w:rsid w:val="00EA04A3"/>
    <w:rsid w:val="00EA0D4F"/>
    <w:rsid w:val="00EA0DC3"/>
    <w:rsid w:val="00EA102E"/>
    <w:rsid w:val="00EA1061"/>
    <w:rsid w:val="00EA1C24"/>
    <w:rsid w:val="00EA1D66"/>
    <w:rsid w:val="00EA3E55"/>
    <w:rsid w:val="00EA4E2A"/>
    <w:rsid w:val="00EA5BEF"/>
    <w:rsid w:val="00EA6369"/>
    <w:rsid w:val="00EA7992"/>
    <w:rsid w:val="00EA7E92"/>
    <w:rsid w:val="00EB01E7"/>
    <w:rsid w:val="00EB020E"/>
    <w:rsid w:val="00EB0C3E"/>
    <w:rsid w:val="00EB0FE0"/>
    <w:rsid w:val="00EB2852"/>
    <w:rsid w:val="00EB2EA5"/>
    <w:rsid w:val="00EB415B"/>
    <w:rsid w:val="00EB6AB2"/>
    <w:rsid w:val="00EB7C10"/>
    <w:rsid w:val="00EC087B"/>
    <w:rsid w:val="00EC375F"/>
    <w:rsid w:val="00EC3844"/>
    <w:rsid w:val="00EC3A42"/>
    <w:rsid w:val="00EC3DBA"/>
    <w:rsid w:val="00EC3EE7"/>
    <w:rsid w:val="00EC4DFD"/>
    <w:rsid w:val="00EC622C"/>
    <w:rsid w:val="00EC7557"/>
    <w:rsid w:val="00EC77D1"/>
    <w:rsid w:val="00ED0110"/>
    <w:rsid w:val="00ED1426"/>
    <w:rsid w:val="00ED3757"/>
    <w:rsid w:val="00ED5105"/>
    <w:rsid w:val="00ED53FD"/>
    <w:rsid w:val="00ED681E"/>
    <w:rsid w:val="00ED6B28"/>
    <w:rsid w:val="00ED74EF"/>
    <w:rsid w:val="00EE0557"/>
    <w:rsid w:val="00EE0E9A"/>
    <w:rsid w:val="00EE1377"/>
    <w:rsid w:val="00EE1603"/>
    <w:rsid w:val="00EE168B"/>
    <w:rsid w:val="00EE22AD"/>
    <w:rsid w:val="00EE3A5B"/>
    <w:rsid w:val="00EE3BE1"/>
    <w:rsid w:val="00EE44BA"/>
    <w:rsid w:val="00EE44D2"/>
    <w:rsid w:val="00EE481B"/>
    <w:rsid w:val="00EE4A07"/>
    <w:rsid w:val="00EE4A77"/>
    <w:rsid w:val="00EE4B70"/>
    <w:rsid w:val="00EE50A7"/>
    <w:rsid w:val="00EE55B2"/>
    <w:rsid w:val="00EE5DBF"/>
    <w:rsid w:val="00EE79E1"/>
    <w:rsid w:val="00EF0E79"/>
    <w:rsid w:val="00EF18D6"/>
    <w:rsid w:val="00EF25F3"/>
    <w:rsid w:val="00EF2757"/>
    <w:rsid w:val="00EF4905"/>
    <w:rsid w:val="00EF5059"/>
    <w:rsid w:val="00EF779D"/>
    <w:rsid w:val="00EF7AC6"/>
    <w:rsid w:val="00F03AAA"/>
    <w:rsid w:val="00F05A20"/>
    <w:rsid w:val="00F05C1D"/>
    <w:rsid w:val="00F05D26"/>
    <w:rsid w:val="00F065BD"/>
    <w:rsid w:val="00F0717F"/>
    <w:rsid w:val="00F0732D"/>
    <w:rsid w:val="00F0798B"/>
    <w:rsid w:val="00F07BA3"/>
    <w:rsid w:val="00F11047"/>
    <w:rsid w:val="00F11107"/>
    <w:rsid w:val="00F11206"/>
    <w:rsid w:val="00F112FB"/>
    <w:rsid w:val="00F14616"/>
    <w:rsid w:val="00F22475"/>
    <w:rsid w:val="00F22E3F"/>
    <w:rsid w:val="00F22F2B"/>
    <w:rsid w:val="00F22FDE"/>
    <w:rsid w:val="00F23345"/>
    <w:rsid w:val="00F23440"/>
    <w:rsid w:val="00F23D5B"/>
    <w:rsid w:val="00F255CC"/>
    <w:rsid w:val="00F263C8"/>
    <w:rsid w:val="00F26E12"/>
    <w:rsid w:val="00F27441"/>
    <w:rsid w:val="00F27A34"/>
    <w:rsid w:val="00F27D8E"/>
    <w:rsid w:val="00F30FF9"/>
    <w:rsid w:val="00F32621"/>
    <w:rsid w:val="00F32E04"/>
    <w:rsid w:val="00F32F63"/>
    <w:rsid w:val="00F332A8"/>
    <w:rsid w:val="00F332B9"/>
    <w:rsid w:val="00F335C0"/>
    <w:rsid w:val="00F338C2"/>
    <w:rsid w:val="00F366CA"/>
    <w:rsid w:val="00F369F6"/>
    <w:rsid w:val="00F374FB"/>
    <w:rsid w:val="00F37558"/>
    <w:rsid w:val="00F37599"/>
    <w:rsid w:val="00F40B05"/>
    <w:rsid w:val="00F40F68"/>
    <w:rsid w:val="00F40FE7"/>
    <w:rsid w:val="00F410C7"/>
    <w:rsid w:val="00F41C0A"/>
    <w:rsid w:val="00F422EF"/>
    <w:rsid w:val="00F42C22"/>
    <w:rsid w:val="00F43776"/>
    <w:rsid w:val="00F439C9"/>
    <w:rsid w:val="00F46ABF"/>
    <w:rsid w:val="00F51340"/>
    <w:rsid w:val="00F51C83"/>
    <w:rsid w:val="00F57AC7"/>
    <w:rsid w:val="00F57F66"/>
    <w:rsid w:val="00F61A6A"/>
    <w:rsid w:val="00F61BA0"/>
    <w:rsid w:val="00F61C9C"/>
    <w:rsid w:val="00F61ED2"/>
    <w:rsid w:val="00F62320"/>
    <w:rsid w:val="00F630C3"/>
    <w:rsid w:val="00F64EFB"/>
    <w:rsid w:val="00F64F16"/>
    <w:rsid w:val="00F675FC"/>
    <w:rsid w:val="00F70B7E"/>
    <w:rsid w:val="00F729BF"/>
    <w:rsid w:val="00F73768"/>
    <w:rsid w:val="00F7378F"/>
    <w:rsid w:val="00F75023"/>
    <w:rsid w:val="00F755FB"/>
    <w:rsid w:val="00F762DC"/>
    <w:rsid w:val="00F76DE5"/>
    <w:rsid w:val="00F77F23"/>
    <w:rsid w:val="00F80960"/>
    <w:rsid w:val="00F81D01"/>
    <w:rsid w:val="00F83F08"/>
    <w:rsid w:val="00F8419C"/>
    <w:rsid w:val="00F84EC5"/>
    <w:rsid w:val="00F86481"/>
    <w:rsid w:val="00F8795B"/>
    <w:rsid w:val="00F87F5A"/>
    <w:rsid w:val="00F87FC9"/>
    <w:rsid w:val="00F90CEC"/>
    <w:rsid w:val="00F91EAE"/>
    <w:rsid w:val="00F92270"/>
    <w:rsid w:val="00F9495D"/>
    <w:rsid w:val="00F95AF7"/>
    <w:rsid w:val="00F96D5C"/>
    <w:rsid w:val="00F97BC7"/>
    <w:rsid w:val="00FA1B93"/>
    <w:rsid w:val="00FA2A24"/>
    <w:rsid w:val="00FA5236"/>
    <w:rsid w:val="00FA5F06"/>
    <w:rsid w:val="00FA5FF3"/>
    <w:rsid w:val="00FA6BB0"/>
    <w:rsid w:val="00FA7B77"/>
    <w:rsid w:val="00FB0A42"/>
    <w:rsid w:val="00FB12CD"/>
    <w:rsid w:val="00FB3B2F"/>
    <w:rsid w:val="00FB41D5"/>
    <w:rsid w:val="00FB5A2F"/>
    <w:rsid w:val="00FB6479"/>
    <w:rsid w:val="00FC0098"/>
    <w:rsid w:val="00FC01A6"/>
    <w:rsid w:val="00FC02C6"/>
    <w:rsid w:val="00FC05A4"/>
    <w:rsid w:val="00FC1BD5"/>
    <w:rsid w:val="00FC1C21"/>
    <w:rsid w:val="00FC2B3F"/>
    <w:rsid w:val="00FC3336"/>
    <w:rsid w:val="00FC4106"/>
    <w:rsid w:val="00FC54E2"/>
    <w:rsid w:val="00FC7AF9"/>
    <w:rsid w:val="00FD0D97"/>
    <w:rsid w:val="00FD1019"/>
    <w:rsid w:val="00FD2127"/>
    <w:rsid w:val="00FD59A3"/>
    <w:rsid w:val="00FE107A"/>
    <w:rsid w:val="00FE165C"/>
    <w:rsid w:val="00FE1E50"/>
    <w:rsid w:val="00FE3CD6"/>
    <w:rsid w:val="00FE3E28"/>
    <w:rsid w:val="00FE48A8"/>
    <w:rsid w:val="00FE4DFE"/>
    <w:rsid w:val="00FE5A06"/>
    <w:rsid w:val="00FE73C8"/>
    <w:rsid w:val="00FE7784"/>
    <w:rsid w:val="00FE7B96"/>
    <w:rsid w:val="00FF0797"/>
    <w:rsid w:val="00FF3373"/>
    <w:rsid w:val="00FF36DC"/>
    <w:rsid w:val="00FF3AAE"/>
    <w:rsid w:val="00FF4A02"/>
    <w:rsid w:val="00FF4FA5"/>
    <w:rsid w:val="00FF53FB"/>
    <w:rsid w:val="00FF587F"/>
    <w:rsid w:val="00FF7D3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2813707"/>
  <w15:docId w15:val="{96CF6FAA-54BB-4B1A-A8AC-4D85DA2AD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9" w:unhideWhenUsed="1"/>
    <w:lsdException w:name="footer" w:semiHidden="1" w:uiPriority="4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5556F3"/>
    <w:pPr>
      <w:spacing w:after="220" w:line="240" w:lineRule="atLeast"/>
    </w:pPr>
    <w:rPr>
      <w:rFonts w:ascii="Jacobs Chronos" w:hAnsi="Jacobs Chronos" w:cs="Jacobs Chronos"/>
      <w:sz w:val="20"/>
      <w:lang w:val="en-GB"/>
    </w:rPr>
  </w:style>
  <w:style w:type="paragraph" w:styleId="Heading1">
    <w:name w:val="heading 1"/>
    <w:basedOn w:val="Para0"/>
    <w:next w:val="Para0"/>
    <w:link w:val="Heading1Char"/>
    <w:qFormat/>
    <w:rsid w:val="00AF0253"/>
    <w:pPr>
      <w:keepNext/>
      <w:keepLines/>
      <w:pageBreakBefore/>
      <w:numPr>
        <w:numId w:val="7"/>
      </w:numPr>
      <w:spacing w:line="360" w:lineRule="exact"/>
      <w:ind w:left="851" w:hanging="851"/>
      <w:outlineLvl w:val="0"/>
    </w:pPr>
    <w:rPr>
      <w:rFonts w:eastAsiaTheme="majorEastAsia" w:cstheme="majorBidi"/>
      <w:b/>
      <w:bCs/>
      <w:sz w:val="32"/>
      <w:szCs w:val="32"/>
    </w:rPr>
  </w:style>
  <w:style w:type="paragraph" w:styleId="Heading2">
    <w:name w:val="heading 2"/>
    <w:basedOn w:val="Para0"/>
    <w:next w:val="Para0"/>
    <w:link w:val="Heading2Char"/>
    <w:qFormat/>
    <w:rsid w:val="00AD7CFC"/>
    <w:pPr>
      <w:keepNext/>
      <w:keepLines/>
      <w:numPr>
        <w:ilvl w:val="1"/>
        <w:numId w:val="7"/>
      </w:numPr>
      <w:outlineLvl w:val="1"/>
    </w:pPr>
    <w:rPr>
      <w:rFonts w:eastAsiaTheme="majorEastAsia" w:cstheme="majorBidi"/>
      <w:b/>
      <w:bCs/>
      <w:sz w:val="24"/>
      <w:szCs w:val="26"/>
    </w:rPr>
  </w:style>
  <w:style w:type="paragraph" w:styleId="Heading3">
    <w:name w:val="heading 3"/>
    <w:basedOn w:val="Para0"/>
    <w:next w:val="Para0"/>
    <w:link w:val="Heading3Char"/>
    <w:qFormat/>
    <w:rsid w:val="001F418B"/>
    <w:pPr>
      <w:keepNext/>
      <w:keepLines/>
      <w:numPr>
        <w:ilvl w:val="2"/>
        <w:numId w:val="7"/>
      </w:numPr>
      <w:outlineLvl w:val="2"/>
    </w:pPr>
    <w:rPr>
      <w:rFonts w:eastAsiaTheme="majorEastAsia" w:cstheme="majorBidi"/>
      <w:b/>
      <w:bCs/>
    </w:rPr>
  </w:style>
  <w:style w:type="paragraph" w:styleId="Heading4">
    <w:name w:val="heading 4"/>
    <w:basedOn w:val="Para0"/>
    <w:next w:val="Para0"/>
    <w:link w:val="Heading4Char"/>
    <w:rsid w:val="001F418B"/>
    <w:pPr>
      <w:keepNext/>
      <w:keepLines/>
      <w:numPr>
        <w:ilvl w:val="3"/>
        <w:numId w:val="7"/>
      </w:numPr>
      <w:outlineLvl w:val="3"/>
    </w:pPr>
    <w:rPr>
      <w:rFonts w:eastAsiaTheme="majorEastAsia" w:cstheme="majorBidi"/>
      <w:b/>
      <w:bCs/>
      <w:iCs/>
    </w:rPr>
  </w:style>
  <w:style w:type="paragraph" w:styleId="Heading5">
    <w:name w:val="heading 5"/>
    <w:basedOn w:val="Para0"/>
    <w:next w:val="Para0"/>
    <w:link w:val="Heading5Char"/>
    <w:rsid w:val="001F418B"/>
    <w:pPr>
      <w:keepNext/>
      <w:keepLines/>
      <w:numPr>
        <w:ilvl w:val="4"/>
        <w:numId w:val="7"/>
      </w:numPr>
      <w:outlineLvl w:val="4"/>
    </w:pPr>
    <w:rPr>
      <w:rFonts w:eastAsiaTheme="majorEastAsia" w:cstheme="majorBidi"/>
      <w:b/>
    </w:rPr>
  </w:style>
  <w:style w:type="paragraph" w:styleId="Heading6">
    <w:name w:val="heading 6"/>
    <w:basedOn w:val="Para0"/>
    <w:next w:val="Para0"/>
    <w:link w:val="Heading6Char"/>
    <w:rsid w:val="001F418B"/>
    <w:pPr>
      <w:keepNext/>
      <w:keepLines/>
      <w:numPr>
        <w:ilvl w:val="5"/>
        <w:numId w:val="7"/>
      </w:numPr>
      <w:outlineLvl w:val="5"/>
    </w:pPr>
    <w:rPr>
      <w:rFonts w:eastAsiaTheme="majorEastAsia" w:cstheme="majorBidi"/>
      <w:b/>
      <w:iCs/>
    </w:rPr>
  </w:style>
  <w:style w:type="paragraph" w:styleId="Heading7">
    <w:name w:val="heading 7"/>
    <w:basedOn w:val="Normal"/>
    <w:next w:val="Para0"/>
    <w:link w:val="Heading7Char"/>
    <w:rsid w:val="00AD7CFC"/>
    <w:pPr>
      <w:numPr>
        <w:ilvl w:val="6"/>
        <w:numId w:val="7"/>
      </w:numPr>
      <w:spacing w:before="240" w:after="120" w:line="360" w:lineRule="exact"/>
      <w:outlineLvl w:val="6"/>
    </w:pPr>
    <w:rPr>
      <w:b/>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Para0"/>
    <w:next w:val="Para0"/>
    <w:link w:val="Heading9Char"/>
    <w:qFormat/>
    <w:rsid w:val="00CB63FE"/>
    <w:pPr>
      <w:pageBreakBefore/>
      <w:numPr>
        <w:numId w:val="8"/>
      </w:numPr>
      <w:spacing w:line="360" w:lineRule="exact"/>
      <w:ind w:left="1956" w:hanging="1956"/>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Normal +Centre:  3 pt,Line spacing:  1.5 lines,tt,fmstabletext,fmstabletext + Courier New,8 pt,Top: (Single solid line,... +...,fmstabletext Char Char Char Char Char Char"/>
    <w:basedOn w:val="Normal"/>
    <w:link w:val="Para0Char"/>
    <w:qFormat/>
    <w:rsid w:val="003531F5"/>
    <w:pPr>
      <w:spacing w:before="240" w:after="120"/>
    </w:pPr>
  </w:style>
  <w:style w:type="character" w:customStyle="1" w:styleId="Heading1Char">
    <w:name w:val="Heading 1 Char"/>
    <w:basedOn w:val="DefaultParagraphFont"/>
    <w:link w:val="Heading1"/>
    <w:rsid w:val="007B0DDD"/>
    <w:rPr>
      <w:rFonts w:ascii="Jacobs Chronos" w:eastAsiaTheme="majorEastAsia" w:hAnsi="Jacobs Chronos" w:cstheme="majorBidi"/>
      <w:b/>
      <w:bCs/>
      <w:sz w:val="32"/>
      <w:szCs w:val="32"/>
      <w:lang w:val="en-GB"/>
    </w:rPr>
  </w:style>
  <w:style w:type="character" w:customStyle="1" w:styleId="Heading2Char">
    <w:name w:val="Heading 2 Char"/>
    <w:basedOn w:val="DefaultParagraphFont"/>
    <w:link w:val="Heading2"/>
    <w:rsid w:val="007B0DDD"/>
    <w:rPr>
      <w:rFonts w:ascii="Jacobs Chronos" w:eastAsiaTheme="majorEastAsia" w:hAnsi="Jacobs Chronos" w:cstheme="majorBidi"/>
      <w:b/>
      <w:bCs/>
      <w:szCs w:val="26"/>
      <w:lang w:val="en-GB"/>
    </w:rPr>
  </w:style>
  <w:style w:type="character" w:customStyle="1" w:styleId="Heading3Char">
    <w:name w:val="Heading 3 Char"/>
    <w:basedOn w:val="DefaultParagraphFont"/>
    <w:link w:val="Heading3"/>
    <w:rsid w:val="001F418B"/>
    <w:rPr>
      <w:rFonts w:ascii="Jacobs Chronos" w:eastAsiaTheme="majorEastAsia" w:hAnsi="Jacobs Chronos" w:cstheme="majorBidi"/>
      <w:b/>
      <w:bCs/>
      <w:sz w:val="20"/>
      <w:lang w:val="en-GB"/>
    </w:rPr>
  </w:style>
  <w:style w:type="character" w:customStyle="1" w:styleId="Heading4Char">
    <w:name w:val="Heading 4 Char"/>
    <w:basedOn w:val="DefaultParagraphFont"/>
    <w:link w:val="Heading4"/>
    <w:rsid w:val="001F418B"/>
    <w:rPr>
      <w:rFonts w:ascii="Jacobs Chronos" w:eastAsiaTheme="majorEastAsia" w:hAnsi="Jacobs Chronos" w:cstheme="majorBidi"/>
      <w:b/>
      <w:bCs/>
      <w:iCs/>
      <w:sz w:val="20"/>
      <w:lang w:val="en-GB"/>
    </w:rPr>
  </w:style>
  <w:style w:type="character" w:customStyle="1" w:styleId="Heading5Char">
    <w:name w:val="Heading 5 Char"/>
    <w:basedOn w:val="DefaultParagraphFont"/>
    <w:link w:val="Heading5"/>
    <w:rsid w:val="001F418B"/>
    <w:rPr>
      <w:rFonts w:ascii="Jacobs Chronos" w:eastAsiaTheme="majorEastAsia" w:hAnsi="Jacobs Chronos" w:cstheme="majorBidi"/>
      <w:b/>
      <w:sz w:val="20"/>
      <w:lang w:val="en-GB"/>
    </w:rPr>
  </w:style>
  <w:style w:type="character" w:customStyle="1" w:styleId="Heading6Char">
    <w:name w:val="Heading 6 Char"/>
    <w:basedOn w:val="DefaultParagraphFont"/>
    <w:link w:val="Heading6"/>
    <w:rsid w:val="001F418B"/>
    <w:rPr>
      <w:rFonts w:ascii="Jacobs Chronos" w:eastAsiaTheme="majorEastAsia" w:hAnsi="Jacobs Chronos" w:cstheme="majorBidi"/>
      <w:b/>
      <w:iCs/>
      <w:sz w:val="20"/>
      <w:lang w:val="en-GB"/>
    </w:rPr>
  </w:style>
  <w:style w:type="character" w:customStyle="1" w:styleId="Heading7Char">
    <w:name w:val="Heading 7 Char"/>
    <w:basedOn w:val="DefaultParagraphFont"/>
    <w:link w:val="Heading7"/>
    <w:rsid w:val="008B6D44"/>
    <w:rPr>
      <w:rFonts w:ascii="Jacobs Chronos" w:hAnsi="Jacobs Chronos" w:cs="Jacobs Chronos"/>
      <w:b/>
      <w:sz w:val="20"/>
      <w:lang w:val="en-GB"/>
    </w:rPr>
  </w:style>
  <w:style w:type="character" w:customStyle="1" w:styleId="Heading8Char">
    <w:name w:val="Heading 8 Char"/>
    <w:basedOn w:val="DefaultParagraphFont"/>
    <w:link w:val="Heading8"/>
    <w:rsid w:val="008B6D44"/>
    <w:rPr>
      <w:rFonts w:ascii="Jacobs Chronos" w:eastAsiaTheme="majorEastAsia" w:hAnsi="Jacobs Chronos" w:cstheme="majorBidi"/>
      <w:b/>
      <w:bCs/>
      <w:szCs w:val="26"/>
      <w:lang w:val="en-GB"/>
    </w:rPr>
  </w:style>
  <w:style w:type="character" w:customStyle="1" w:styleId="Heading9Char">
    <w:name w:val="Heading 9 Char"/>
    <w:aliases w:val="Appendix Char"/>
    <w:basedOn w:val="DefaultParagraphFont"/>
    <w:link w:val="Heading9"/>
    <w:rsid w:val="00CB63FE"/>
    <w:rPr>
      <w:rFonts w:ascii="Jacobs Chronos" w:hAnsi="Jacobs Chronos" w:cs="Jacobs Chronos"/>
      <w:b/>
      <w:sz w:val="32"/>
      <w:lang w:val="en-GB"/>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b/>
      <w:color w:val="E5E5E5" w:themeColor="background2"/>
      <w:sz w:val="32"/>
    </w:rPr>
  </w:style>
  <w:style w:type="paragraph" w:customStyle="1" w:styleId="CoverSubheading">
    <w:name w:val="Cover Subheading"/>
    <w:basedOn w:val="CoverHeading"/>
    <w:next w:val="CoverDate"/>
    <w:semiHidden/>
    <w:rsid w:val="00903EC7"/>
    <w:pPr>
      <w:spacing w:line="280" w:lineRule="exact"/>
    </w:pPr>
    <w:rPr>
      <w:sz w:val="22"/>
      <w:szCs w:val="22"/>
    </w:rPr>
  </w:style>
  <w:style w:type="paragraph" w:customStyle="1" w:styleId="CoverDate">
    <w:name w:val="Cover Date"/>
    <w:basedOn w:val="CoverHeading"/>
    <w:next w:val="Para0"/>
    <w:semiHidden/>
    <w:rsid w:val="00AD7CFC"/>
    <w:pPr>
      <w:spacing w:line="280" w:lineRule="exact"/>
    </w:pPr>
    <w:rPr>
      <w:sz w:val="22"/>
    </w:rPr>
  </w:style>
  <w:style w:type="paragraph" w:customStyle="1" w:styleId="PageTitle">
    <w:name w:val="Page Title"/>
    <w:basedOn w:val="Para0"/>
    <w:semiHidden/>
    <w:rsid w:val="00AD7CFC"/>
    <w:pPr>
      <w:spacing w:before="0" w:after="0" w:line="240" w:lineRule="auto"/>
      <w:ind w:left="3402"/>
    </w:pPr>
    <w:rPr>
      <w:b/>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color w:val="auto"/>
      <w:sz w:val="14"/>
    </w:rPr>
  </w:style>
  <w:style w:type="paragraph" w:customStyle="1" w:styleId="FooterText">
    <w:name w:val="Footer Text"/>
    <w:basedOn w:val="Para0"/>
    <w:semiHidden/>
    <w:qFormat/>
    <w:rsid w:val="00AD7CFC"/>
    <w:pPr>
      <w:spacing w:after="0" w:line="200" w:lineRule="exact"/>
      <w:ind w:left="567" w:right="284"/>
    </w:pPr>
    <w:rPr>
      <w:rFonts w:ascii="Jacobs Chronos Light" w:hAnsi="Jacobs Chronos Light" w:cs="Jacobs Chronos Light"/>
      <w:b/>
      <w:sz w:val="16"/>
    </w:rPr>
  </w:style>
  <w:style w:type="paragraph" w:customStyle="1" w:styleId="Tablebullet">
    <w:name w:val="Table bullet"/>
    <w:basedOn w:val="Tabletext"/>
    <w:uiPriority w:val="14"/>
    <w:qFormat/>
    <w:rsid w:val="00AD7CFC"/>
    <w:pPr>
      <w:numPr>
        <w:numId w:val="23"/>
      </w:numPr>
    </w:pPr>
  </w:style>
  <w:style w:type="paragraph" w:customStyle="1" w:styleId="Tableheading">
    <w:name w:val="Table heading"/>
    <w:basedOn w:val="Normal"/>
    <w:uiPriority w:val="14"/>
    <w:qFormat/>
    <w:rsid w:val="008661DB"/>
    <w:pPr>
      <w:keepNext/>
      <w:spacing w:before="100" w:after="100"/>
    </w:pPr>
    <w:rPr>
      <w:b/>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aliases w:val="Item,Table Caption,Figure,CDM B/Caption,TABLE,Caption Char,Caption_Table,AWT Caption"/>
    <w:basedOn w:val="Tableheading"/>
    <w:next w:val="Para0"/>
    <w:link w:val="CaptionChar1"/>
    <w:uiPriority w:val="35"/>
    <w:qFormat/>
    <w:rsid w:val="00AD7CFC"/>
    <w:pPr>
      <w:spacing w:before="240"/>
    </w:pPr>
    <w:rPr>
      <w:rFonts w:ascii="Jacobs Chronos Light" w:hAnsi="Jacobs Chronos Light" w:cs="Jacobs Chronos Light"/>
      <w:b w:val="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basedOn w:val="Normal"/>
    <w:link w:val="FootnoteTextChar"/>
    <w:uiPriority w:val="99"/>
    <w:rsid w:val="00AD7CFC"/>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99"/>
    <w:rsid w:val="008B6D44"/>
    <w:rPr>
      <w:rFonts w:ascii="Arial" w:hAnsi="Arial"/>
      <w:color w:val="000000"/>
      <w:sz w:val="15"/>
      <w:lang w:val="en-AU"/>
    </w:rPr>
  </w:style>
  <w:style w:type="paragraph" w:customStyle="1" w:styleId="Tabletext">
    <w:name w:val="Table text"/>
    <w:basedOn w:val="Normal"/>
    <w:link w:val="TabletextChar"/>
    <w:uiPriority w:val="14"/>
    <w:qFormat/>
    <w:rsid w:val="00AD7CFC"/>
    <w:pPr>
      <w:spacing w:before="60" w:after="60"/>
    </w:pPr>
  </w:style>
  <w:style w:type="table" w:styleId="TableGrid">
    <w:name w:val="Table Grid"/>
    <w:basedOn w:val="TableNormal"/>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4300A0"/>
    <w:pPr>
      <w:spacing w:after="0" w:line="240" w:lineRule="auto"/>
      <w:ind w:right="0"/>
      <w:jc w:val="left"/>
    </w:pPr>
    <w:rPr>
      <w:b w:val="0"/>
      <w:color w:val="auto"/>
      <w:sz w:val="24"/>
    </w:rPr>
  </w:style>
  <w:style w:type="paragraph" w:customStyle="1" w:styleId="PageHeading">
    <w:name w:val="Page Heading"/>
    <w:basedOn w:val="PageTitle"/>
    <w:next w:val="Para0"/>
    <w:semiHidden/>
    <w:rsid w:val="00AD7CFC"/>
    <w:pPr>
      <w:spacing w:after="240"/>
    </w:pPr>
    <w:rPr>
      <w:b w:val="0"/>
      <w:sz w:val="22"/>
    </w:rPr>
  </w:style>
  <w:style w:type="paragraph" w:customStyle="1" w:styleId="Tableletter">
    <w:name w:val="Table letter"/>
    <w:basedOn w:val="Tablebullet"/>
    <w:uiPriority w:val="14"/>
    <w:qFormat/>
    <w:rsid w:val="00AD7CFC"/>
    <w:pPr>
      <w:numPr>
        <w:numId w:val="25"/>
      </w:numPr>
    </w:pPr>
  </w:style>
  <w:style w:type="paragraph" w:styleId="TOC1">
    <w:name w:val="toc 1"/>
    <w:basedOn w:val="Normal"/>
    <w:next w:val="Normal"/>
    <w:autoRedefine/>
    <w:uiPriority w:val="39"/>
    <w:unhideWhenUsed/>
    <w:qFormat/>
    <w:rsid w:val="007421F2"/>
    <w:pPr>
      <w:tabs>
        <w:tab w:val="right" w:leader="dot" w:pos="9923"/>
      </w:tabs>
      <w:spacing w:after="100" w:line="240" w:lineRule="auto"/>
      <w:ind w:left="675" w:right="454" w:hanging="675"/>
    </w:pPr>
    <w:rPr>
      <w:b/>
      <w:noProof/>
    </w:rPr>
  </w:style>
  <w:style w:type="paragraph" w:styleId="TOC2">
    <w:name w:val="toc 2"/>
    <w:basedOn w:val="Normal"/>
    <w:next w:val="Normal"/>
    <w:autoRedefine/>
    <w:uiPriority w:val="39"/>
    <w:unhideWhenUsed/>
    <w:rsid w:val="00997940"/>
    <w:pPr>
      <w:tabs>
        <w:tab w:val="right" w:leader="dot" w:pos="9923"/>
      </w:tabs>
      <w:spacing w:after="100" w:line="240" w:lineRule="auto"/>
      <w:ind w:left="675" w:right="454" w:hanging="675"/>
    </w:pPr>
    <w:rPr>
      <w:noProof/>
      <w:szCs w:val="20"/>
    </w:rPr>
  </w:style>
  <w:style w:type="character" w:styleId="FootnoteReference">
    <w:name w:val="footnote reference"/>
    <w:basedOn w:val="DefaultParagraphFont"/>
    <w:uiPriority w:val="99"/>
    <w:rsid w:val="00AD7CFC"/>
    <w:rPr>
      <w:rFonts w:ascii="Jacobs Chronos" w:hAnsi="Jacobs Chronos" w:cs="Jacobs Chronos"/>
      <w:sz w:val="15"/>
      <w:vertAlign w:val="superscript"/>
    </w:rPr>
  </w:style>
  <w:style w:type="paragraph" w:styleId="TOC3">
    <w:name w:val="toc 3"/>
    <w:basedOn w:val="Normal"/>
    <w:next w:val="Normal"/>
    <w:autoRedefine/>
    <w:uiPriority w:val="39"/>
    <w:unhideWhenUsed/>
    <w:rsid w:val="00997940"/>
    <w:pPr>
      <w:tabs>
        <w:tab w:val="right" w:leader="dot" w:pos="9923"/>
      </w:tabs>
      <w:spacing w:after="100"/>
      <w:ind w:left="675" w:right="454" w:hanging="675"/>
    </w:pPr>
    <w:rPr>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
    <w:uiPriority w:val="14"/>
    <w:qFormat/>
    <w:rsid w:val="00AD7CFC"/>
    <w:pPr>
      <w:numPr>
        <w:numId w:val="24"/>
      </w:numPr>
    </w:pPr>
  </w:style>
  <w:style w:type="paragraph" w:customStyle="1" w:styleId="Tablesmalltext">
    <w:name w:val="Table small text"/>
    <w:basedOn w:val="Normal"/>
    <w:uiPriority w:val="15"/>
    <w:qFormat/>
    <w:rsid w:val="00AD7CFC"/>
    <w:pPr>
      <w:spacing w:before="40" w:after="40"/>
    </w:pPr>
    <w:rPr>
      <w:sz w:val="16"/>
    </w:rPr>
  </w:style>
  <w:style w:type="paragraph" w:customStyle="1" w:styleId="Tablesmallbullet">
    <w:name w:val="Table small bullet"/>
    <w:basedOn w:val="Tablesmalltext"/>
    <w:uiPriority w:val="15"/>
    <w:qFormat/>
    <w:rsid w:val="00AD7CFC"/>
    <w:pPr>
      <w:numPr>
        <w:numId w:val="19"/>
      </w:numPr>
    </w:pPr>
  </w:style>
  <w:style w:type="paragraph" w:customStyle="1" w:styleId="Tablesmallheading">
    <w:name w:val="Table small heading"/>
    <w:basedOn w:val="Tableheading"/>
    <w:uiPriority w:val="15"/>
    <w:qFormat/>
    <w:rsid w:val="006218E7"/>
    <w:pPr>
      <w:spacing w:before="60" w:after="60"/>
    </w:pPr>
  </w:style>
  <w:style w:type="paragraph" w:customStyle="1" w:styleId="Tablesmallletter">
    <w:name w:val="Table small letter"/>
    <w:basedOn w:val="Tablesmallbullet"/>
    <w:uiPriority w:val="15"/>
    <w:qFormat/>
    <w:rsid w:val="00AD7CFC"/>
    <w:pPr>
      <w:numPr>
        <w:numId w:val="21"/>
      </w:numPr>
    </w:pPr>
  </w:style>
  <w:style w:type="paragraph" w:customStyle="1" w:styleId="Tablesmallnumber">
    <w:name w:val="Table small number"/>
    <w:basedOn w:val="Tablesmallbullet"/>
    <w:uiPriority w:val="15"/>
    <w:qFormat/>
    <w:rsid w:val="00AD7CFC"/>
    <w:pPr>
      <w:numPr>
        <w:numId w:val="20"/>
      </w:numPr>
    </w:pPr>
  </w:style>
  <w:style w:type="paragraph" w:customStyle="1" w:styleId="Sectionheading">
    <w:name w:val="Section heading"/>
    <w:basedOn w:val="Summary"/>
    <w:next w:val="Para0"/>
    <w:uiPriority w:val="1"/>
    <w:qFormat/>
    <w:rsid w:val="00162083"/>
    <w:pPr>
      <w:spacing w:line="360" w:lineRule="exact"/>
    </w:pPr>
  </w:style>
  <w:style w:type="paragraph" w:styleId="Header">
    <w:name w:val="header"/>
    <w:basedOn w:val="PageTitle"/>
    <w:link w:val="HeaderChar"/>
    <w:uiPriority w:val="49"/>
    <w:rsid w:val="00B65611"/>
    <w:pPr>
      <w:ind w:left="0"/>
    </w:pPr>
    <w:rPr>
      <w:b w:val="0"/>
      <w:color w:val="333333" w:themeColor="text2"/>
      <w:sz w:val="22"/>
    </w:rPr>
  </w:style>
  <w:style w:type="character" w:customStyle="1" w:styleId="HeaderChar">
    <w:name w:val="Header Char"/>
    <w:basedOn w:val="DefaultParagraphFont"/>
    <w:link w:val="Header"/>
    <w:uiPriority w:val="49"/>
    <w:rsid w:val="00B65611"/>
    <w:rPr>
      <w:rFonts w:ascii="Jacobs Chronos" w:hAnsi="Jacobs Chronos" w:cs="Jacobs Chronos"/>
      <w:color w:val="333333" w:themeColor="text2"/>
      <w:sz w:val="22"/>
    </w:rPr>
  </w:style>
  <w:style w:type="paragraph" w:styleId="Footer">
    <w:name w:val="footer"/>
    <w:basedOn w:val="Normal"/>
    <w:link w:val="FooterChar"/>
    <w:uiPriority w:val="49"/>
    <w:rsid w:val="009F5221"/>
    <w:pPr>
      <w:tabs>
        <w:tab w:val="right" w:pos="9923"/>
        <w:tab w:val="right" w:pos="14884"/>
        <w:tab w:val="right" w:pos="21830"/>
      </w:tabs>
      <w:spacing w:after="0"/>
      <w:ind w:left="11"/>
    </w:pPr>
    <w:rPr>
      <w:rFonts w:eastAsia="Times" w:cs="Times New Roman"/>
      <w:color w:val="999999"/>
      <w:sz w:val="16"/>
      <w:szCs w:val="20"/>
    </w:rPr>
  </w:style>
  <w:style w:type="character" w:customStyle="1" w:styleId="FooterChar">
    <w:name w:val="Footer Char"/>
    <w:basedOn w:val="DefaultParagraphFont"/>
    <w:link w:val="Footer"/>
    <w:uiPriority w:val="49"/>
    <w:rsid w:val="009F5221"/>
    <w:rPr>
      <w:rFonts w:ascii="Arial" w:eastAsia="Times" w:hAnsi="Arial" w:cs="Times New Roman"/>
      <w:color w:val="999999"/>
      <w:sz w:val="16"/>
      <w:szCs w:val="20"/>
    </w:rPr>
  </w:style>
  <w:style w:type="paragraph" w:styleId="TOCHeading">
    <w:name w:val="TOC Heading"/>
    <w:basedOn w:val="Heading1"/>
    <w:next w:val="Normal"/>
    <w:uiPriority w:val="39"/>
    <w:semiHidden/>
    <w:qFormat/>
    <w:rsid w:val="00AD7CFC"/>
    <w:pPr>
      <w:pageBreakBefore w:val="0"/>
      <w:numPr>
        <w:numId w:val="0"/>
      </w:numPr>
      <w:spacing w:before="480" w:after="0" w:line="276" w:lineRule="auto"/>
      <w:outlineLvl w:val="9"/>
    </w:pPr>
    <w:rPr>
      <w:rFonts w:asciiTheme="majorHAnsi" w:hAnsiTheme="majorHAnsi"/>
      <w:color w:val="1A0FA4" w:themeColor="accent1" w:themeShade="BF"/>
      <w:sz w:val="28"/>
      <w:szCs w:val="28"/>
    </w:rPr>
  </w:style>
  <w:style w:type="character" w:styleId="Hyperlink">
    <w:name w:val="Hyperlink"/>
    <w:basedOn w:val="DefaultParagraphFont"/>
    <w:uiPriority w:val="99"/>
    <w:rsid w:val="00AD7CFC"/>
    <w:rPr>
      <w:color w:val="2314DC" w:themeColor="hyperlink"/>
      <w:u w:val="single"/>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Collateralheading">
    <w:name w:val="Collateral heading"/>
    <w:basedOn w:val="Normal"/>
    <w:next w:val="Normal"/>
    <w:semiHidden/>
    <w:unhideWhenUsed/>
    <w:rsid w:val="00AD7CFC"/>
    <w:pPr>
      <w:keepNext/>
      <w:spacing w:before="80" w:after="120"/>
    </w:pPr>
    <w:rPr>
      <w:b/>
      <w:sz w:val="18"/>
    </w:rPr>
  </w:style>
  <w:style w:type="paragraph" w:customStyle="1" w:styleId="Collateralsubheading">
    <w:name w:val="Collateral sub heading"/>
    <w:basedOn w:val="Collateralheading"/>
    <w:next w:val="Normal"/>
    <w:semiHidden/>
    <w:unhideWhenUsed/>
    <w:rsid w:val="00AD7CFC"/>
    <w:pPr>
      <w:widowControl w:val="0"/>
      <w:spacing w:after="160"/>
    </w:pPr>
    <w:rPr>
      <w:b w:val="0"/>
      <w:sz w:val="19"/>
    </w:rPr>
  </w:style>
  <w:style w:type="paragraph" w:customStyle="1" w:styleId="Name1">
    <w:name w:val="Name 1"/>
    <w:basedOn w:val="Normal"/>
    <w:semiHidden/>
    <w:rsid w:val="00CD27CA"/>
    <w:pPr>
      <w:spacing w:after="160" w:line="320" w:lineRule="exact"/>
      <w:jc w:val="right"/>
    </w:pPr>
    <w:rPr>
      <w:b/>
      <w:sz w:val="36"/>
    </w:rPr>
  </w:style>
  <w:style w:type="paragraph" w:styleId="ListBullet">
    <w:name w:val="List Bullet"/>
    <w:basedOn w:val="Normal"/>
    <w:uiPriority w:val="2"/>
    <w:semiHidden/>
    <w:unhideWhenUsed/>
    <w:qFormat/>
    <w:rsid w:val="00AD7CFC"/>
    <w:pPr>
      <w:tabs>
        <w:tab w:val="num" w:pos="370"/>
      </w:tabs>
      <w:ind w:left="370" w:hanging="360"/>
      <w:contextualSpacing/>
    </w:pPr>
  </w:style>
  <w:style w:type="paragraph" w:customStyle="1" w:styleId="Name2">
    <w:name w:val="Name 2"/>
    <w:basedOn w:val="Name1"/>
    <w:semiHidden/>
    <w:rsid w:val="00CD27CA"/>
    <w:pPr>
      <w:spacing w:after="0"/>
      <w:jc w:val="left"/>
    </w:pPr>
    <w:rPr>
      <w:sz w:val="20"/>
    </w:rPr>
  </w:style>
  <w:style w:type="paragraph" w:customStyle="1" w:styleId="Projectrole1">
    <w:name w:val="Project role 1"/>
    <w:basedOn w:val="Normal"/>
    <w:semiHidden/>
    <w:rsid w:val="00CD27CA"/>
    <w:pPr>
      <w:spacing w:after="160"/>
      <w:jc w:val="right"/>
    </w:pPr>
    <w:rPr>
      <w:caps/>
    </w:rPr>
  </w:style>
  <w:style w:type="paragraph" w:customStyle="1" w:styleId="Projectrole2">
    <w:name w:val="Project role 2"/>
    <w:basedOn w:val="Projectrole1"/>
    <w:semiHidden/>
    <w:rsid w:val="00CD27CA"/>
    <w:pPr>
      <w:jc w:val="left"/>
    </w:pPr>
    <w:rPr>
      <w:sz w:val="14"/>
      <w:szCs w:val="16"/>
    </w:r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qFormat/>
    <w:rsid w:val="00264230"/>
  </w:style>
  <w:style w:type="paragraph" w:customStyle="1" w:styleId="Para0narrowbullet">
    <w:name w:val="Para 0 narrow bullet"/>
    <w:basedOn w:val="Para0bullet"/>
    <w:next w:val="Para0bullet"/>
    <w:semiHidden/>
    <w:qFormat/>
    <w:rsid w:val="00101052"/>
    <w:pPr>
      <w:numPr>
        <w:numId w:val="0"/>
      </w:numPr>
    </w:pPr>
  </w:style>
  <w:style w:type="paragraph" w:customStyle="1" w:styleId="SummaryHeading">
    <w:name w:val="SummaryHeading"/>
    <w:basedOn w:val="Sectionheading"/>
    <w:semiHidden/>
    <w:qFormat/>
    <w:rsid w:val="00AD7CFC"/>
  </w:style>
  <w:style w:type="paragraph" w:customStyle="1" w:styleId="Para0bold">
    <w:name w:val="Para 0 bold"/>
    <w:basedOn w:val="Para0"/>
    <w:uiPriority w:val="4"/>
    <w:qFormat/>
    <w:rsid w:val="00264230"/>
    <w:rPr>
      <w:b/>
    </w:rPr>
  </w:style>
  <w:style w:type="paragraph" w:customStyle="1" w:styleId="Para0number">
    <w:name w:val="Para 0 number"/>
    <w:basedOn w:val="Para0"/>
    <w:uiPriority w:val="4"/>
    <w:qFormat/>
    <w:rsid w:val="00E02A69"/>
    <w:pPr>
      <w:numPr>
        <w:numId w:val="16"/>
      </w:numPr>
      <w:tabs>
        <w:tab w:val="left" w:pos="851"/>
      </w:tabs>
      <w:spacing w:before="0"/>
    </w:pPr>
  </w:style>
  <w:style w:type="paragraph" w:customStyle="1" w:styleId="Para0arrow">
    <w:name w:val="Para 0 arrow"/>
    <w:basedOn w:val="Para0"/>
    <w:uiPriority w:val="4"/>
    <w:qFormat/>
    <w:rsid w:val="00264230"/>
    <w:pPr>
      <w:numPr>
        <w:numId w:val="14"/>
      </w:numPr>
      <w:tabs>
        <w:tab w:val="left" w:pos="851"/>
      </w:tabs>
      <w:spacing w:before="0"/>
    </w:pPr>
  </w:style>
  <w:style w:type="paragraph" w:customStyle="1" w:styleId="Para0dash">
    <w:name w:val="Para 0 dash"/>
    <w:basedOn w:val="Para0"/>
    <w:uiPriority w:val="4"/>
    <w:qFormat/>
    <w:rsid w:val="00264230"/>
    <w:pPr>
      <w:numPr>
        <w:numId w:val="13"/>
      </w:numPr>
      <w:tabs>
        <w:tab w:val="left" w:pos="851"/>
      </w:tabs>
      <w:spacing w:before="0"/>
    </w:pPr>
  </w:style>
  <w:style w:type="paragraph" w:customStyle="1" w:styleId="Para0roman">
    <w:name w:val="Para 0 roman"/>
    <w:basedOn w:val="Para0"/>
    <w:uiPriority w:val="4"/>
    <w:qFormat/>
    <w:rsid w:val="00264230"/>
    <w:pPr>
      <w:numPr>
        <w:numId w:val="18"/>
      </w:numPr>
      <w:tabs>
        <w:tab w:val="left" w:pos="851"/>
      </w:tabs>
      <w:spacing w:before="0"/>
    </w:pPr>
  </w:style>
  <w:style w:type="paragraph" w:customStyle="1" w:styleId="Para0letter">
    <w:name w:val="Para 0 letter"/>
    <w:basedOn w:val="Para0"/>
    <w:uiPriority w:val="4"/>
    <w:qFormat/>
    <w:rsid w:val="00264230"/>
    <w:pPr>
      <w:numPr>
        <w:numId w:val="17"/>
      </w:numPr>
      <w:tabs>
        <w:tab w:val="left" w:pos="851"/>
      </w:tabs>
      <w:spacing w:before="0"/>
    </w:pPr>
  </w:style>
  <w:style w:type="paragraph" w:customStyle="1" w:styleId="Para0bullet">
    <w:name w:val="Para 0 bullet"/>
    <w:basedOn w:val="Para0"/>
    <w:link w:val="Para0bulletChar"/>
    <w:qFormat/>
    <w:rsid w:val="00264230"/>
    <w:pPr>
      <w:numPr>
        <w:numId w:val="12"/>
      </w:numPr>
      <w:tabs>
        <w:tab w:val="left" w:pos="851"/>
      </w:tabs>
      <w:spacing w:before="0"/>
    </w:pPr>
  </w:style>
  <w:style w:type="paragraph" w:styleId="TOC9">
    <w:name w:val="toc 9"/>
    <w:basedOn w:val="Normal"/>
    <w:next w:val="Normal"/>
    <w:autoRedefine/>
    <w:uiPriority w:val="39"/>
    <w:unhideWhenUsed/>
    <w:rsid w:val="00997940"/>
    <w:pPr>
      <w:tabs>
        <w:tab w:val="right" w:leader="dot" w:pos="9923"/>
      </w:tabs>
      <w:spacing w:after="100"/>
    </w:pPr>
    <w:rPr>
      <w:b/>
      <w:noProof/>
    </w:rPr>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semiHidden/>
    <w:unhideWhenUsed/>
    <w:rsid w:val="00997940"/>
    <w:pPr>
      <w:tabs>
        <w:tab w:val="right" w:leader="dot" w:pos="9906"/>
      </w:tabs>
      <w:spacing w:after="100"/>
      <w:ind w:left="1315" w:hanging="1315"/>
    </w:pPr>
  </w:style>
  <w:style w:type="paragraph" w:styleId="TOC5">
    <w:name w:val="toc 5"/>
    <w:basedOn w:val="Normal"/>
    <w:next w:val="Normal"/>
    <w:autoRedefine/>
    <w:uiPriority w:val="39"/>
    <w:semiHidden/>
    <w:unhideWhenUsed/>
    <w:rsid w:val="00997940"/>
    <w:pPr>
      <w:tabs>
        <w:tab w:val="right" w:leader="dot" w:pos="9923"/>
      </w:tabs>
      <w:spacing w:after="100"/>
      <w:ind w:left="1315" w:hanging="1315"/>
    </w:pPr>
  </w:style>
  <w:style w:type="paragraph" w:styleId="TOC6">
    <w:name w:val="toc 6"/>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7">
    <w:name w:val="toc 7"/>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8">
    <w:name w:val="toc 8"/>
    <w:basedOn w:val="Normal"/>
    <w:next w:val="Normal"/>
    <w:autoRedefine/>
    <w:uiPriority w:val="39"/>
    <w:semiHidden/>
    <w:unhideWhenUsed/>
    <w:rsid w:val="00997940"/>
    <w:pPr>
      <w:tabs>
        <w:tab w:val="left" w:pos="1315"/>
        <w:tab w:val="right" w:leader="dot" w:pos="9923"/>
      </w:tabs>
      <w:spacing w:after="100"/>
      <w:ind w:left="675" w:hanging="675"/>
    </w:pPr>
  </w:style>
  <w:style w:type="paragraph" w:customStyle="1" w:styleId="Para1narrowarrow">
    <w:name w:val="Para 1 narrow arrow"/>
    <w:basedOn w:val="Para0narrowbullet"/>
    <w:unhideWhenUsed/>
    <w:qFormat/>
    <w:rsid w:val="00264230"/>
    <w:pPr>
      <w:numPr>
        <w:ilvl w:val="1"/>
        <w:numId w:val="12"/>
      </w:numPr>
    </w:pPr>
  </w:style>
  <w:style w:type="paragraph" w:customStyle="1" w:styleId="PHHeading1">
    <w:name w:val="PHHeading 1"/>
    <w:basedOn w:val="Normal"/>
    <w:semiHidden/>
    <w:rsid w:val="004D574E"/>
  </w:style>
  <w:style w:type="paragraph" w:customStyle="1" w:styleId="PHHeading2">
    <w:name w:val="PHHeading 2"/>
    <w:basedOn w:val="Collateralsubheading"/>
    <w:semiHidden/>
    <w:rsid w:val="00AD7CFC"/>
  </w:style>
  <w:style w:type="paragraph" w:customStyle="1" w:styleId="PHHeading3">
    <w:name w:val="PHHeading 3"/>
    <w:basedOn w:val="PHHeading2"/>
    <w:semiHidden/>
    <w:rsid w:val="00AD7CFC"/>
  </w:style>
  <w:style w:type="paragraph" w:customStyle="1" w:styleId="Para1">
    <w:name w:val="Para 1"/>
    <w:basedOn w:val="Para0"/>
    <w:uiPriority w:val="5"/>
    <w:rsid w:val="00E33614"/>
    <w:pPr>
      <w:ind w:left="425"/>
    </w:pPr>
  </w:style>
  <w:style w:type="paragraph" w:customStyle="1" w:styleId="Para1bullet">
    <w:name w:val="Para 1 bullet"/>
    <w:basedOn w:val="Para0bullet"/>
    <w:uiPriority w:val="5"/>
    <w:rsid w:val="00101052"/>
    <w:pPr>
      <w:ind w:left="850"/>
    </w:pPr>
  </w:style>
  <w:style w:type="paragraph" w:customStyle="1" w:styleId="Para1dash">
    <w:name w:val="Para 1 dash"/>
    <w:basedOn w:val="Para0dash"/>
    <w:uiPriority w:val="5"/>
    <w:rsid w:val="00101052"/>
    <w:pPr>
      <w:ind w:left="850"/>
    </w:pPr>
  </w:style>
  <w:style w:type="paragraph" w:customStyle="1" w:styleId="Para1letter">
    <w:name w:val="Para 1 letter"/>
    <w:basedOn w:val="Para0letter"/>
    <w:uiPriority w:val="5"/>
    <w:rsid w:val="008C0C17"/>
    <w:pPr>
      <w:numPr>
        <w:numId w:val="36"/>
      </w:numPr>
    </w:pPr>
  </w:style>
  <w:style w:type="paragraph" w:customStyle="1" w:styleId="Para1number">
    <w:name w:val="Para 1 number"/>
    <w:basedOn w:val="Para1bullet"/>
    <w:uiPriority w:val="5"/>
    <w:rsid w:val="00E02A69"/>
    <w:pPr>
      <w:numPr>
        <w:numId w:val="27"/>
      </w:numPr>
    </w:pPr>
  </w:style>
  <w:style w:type="paragraph" w:customStyle="1" w:styleId="Summary">
    <w:name w:val="Summary"/>
    <w:basedOn w:val="Normal"/>
    <w:next w:val="Para0"/>
    <w:uiPriority w:val="1"/>
    <w:qFormat/>
    <w:rsid w:val="00AD7CFC"/>
    <w:pPr>
      <w:pageBreakBefore/>
      <w:spacing w:after="120" w:line="320" w:lineRule="exact"/>
    </w:pPr>
    <w:rPr>
      <w:b/>
      <w:sz w:val="32"/>
    </w:rPr>
  </w:style>
  <w:style w:type="paragraph" w:customStyle="1" w:styleId="SectionSubheading1">
    <w:name w:val="Section Sub heading 1"/>
    <w:basedOn w:val="Heading2"/>
    <w:next w:val="Para0"/>
    <w:uiPriority w:val="1"/>
    <w:qFormat/>
    <w:rsid w:val="00AD7CFC"/>
    <w:pPr>
      <w:numPr>
        <w:ilvl w:val="0"/>
        <w:numId w:val="0"/>
      </w:numPr>
    </w:pPr>
  </w:style>
  <w:style w:type="paragraph" w:customStyle="1" w:styleId="SectionSubheading2">
    <w:name w:val="Section Sub heading 2"/>
    <w:basedOn w:val="Heading3"/>
    <w:next w:val="Para0"/>
    <w:uiPriority w:val="1"/>
    <w:qFormat/>
    <w:rsid w:val="00AD7CFC"/>
    <w:pPr>
      <w:numPr>
        <w:ilvl w:val="0"/>
        <w:numId w:val="0"/>
      </w:numPr>
    </w:pPr>
  </w:style>
  <w:style w:type="paragraph" w:customStyle="1" w:styleId="DocumentTitle">
    <w:name w:val="Document Title"/>
    <w:basedOn w:val="Normal"/>
    <w:uiPriority w:val="19"/>
    <w:rsid w:val="00267DD3"/>
    <w:pPr>
      <w:spacing w:after="60"/>
    </w:pPr>
  </w:style>
  <w:style w:type="paragraph" w:customStyle="1" w:styleId="Para2">
    <w:name w:val="Para 2"/>
    <w:basedOn w:val="Para1"/>
    <w:uiPriority w:val="6"/>
    <w:rsid w:val="00264230"/>
    <w:pPr>
      <w:ind w:left="851"/>
    </w:pPr>
  </w:style>
  <w:style w:type="paragraph" w:customStyle="1" w:styleId="Para2bullet">
    <w:name w:val="Para 2 bullet"/>
    <w:basedOn w:val="Para1bullet"/>
    <w:uiPriority w:val="6"/>
    <w:rsid w:val="00534198"/>
    <w:pPr>
      <w:ind w:left="1276"/>
    </w:pPr>
  </w:style>
  <w:style w:type="paragraph" w:customStyle="1" w:styleId="Para2dash">
    <w:name w:val="Para 2 dash"/>
    <w:basedOn w:val="Para1dash"/>
    <w:uiPriority w:val="6"/>
    <w:rsid w:val="00534198"/>
    <w:pPr>
      <w:ind w:left="1276"/>
    </w:pPr>
  </w:style>
  <w:style w:type="paragraph" w:customStyle="1" w:styleId="Para2letter">
    <w:name w:val="Para 2 letter"/>
    <w:basedOn w:val="Para1letter"/>
    <w:uiPriority w:val="6"/>
    <w:rsid w:val="008C0C17"/>
    <w:pPr>
      <w:numPr>
        <w:numId w:val="31"/>
      </w:numPr>
    </w:pPr>
  </w:style>
  <w:style w:type="paragraph" w:customStyle="1" w:styleId="Contents">
    <w:name w:val="Contents"/>
    <w:basedOn w:val="PageHeading"/>
    <w:next w:val="Para0"/>
    <w:uiPriority w:val="24"/>
    <w:rsid w:val="004300A0"/>
    <w:pPr>
      <w:pageBreakBefore/>
      <w:spacing w:after="100"/>
      <w:ind w:left="0"/>
    </w:pPr>
    <w:rPr>
      <w:b/>
      <w:color w:val="auto"/>
      <w:sz w:val="24"/>
    </w:rPr>
  </w:style>
  <w:style w:type="paragraph" w:customStyle="1" w:styleId="Tablecaption">
    <w:name w:val="Table caption"/>
    <w:basedOn w:val="Caption"/>
    <w:next w:val="Para0"/>
    <w:rsid w:val="0083301B"/>
    <w:rPr>
      <w:rFonts w:ascii="Jacobs Chronos" w:hAnsi="Jacobs Chronos"/>
    </w:rPr>
  </w:style>
  <w:style w:type="paragraph" w:customStyle="1" w:styleId="Figurecaption">
    <w:name w:val="Figure caption"/>
    <w:basedOn w:val="Caption"/>
    <w:next w:val="Para0"/>
    <w:semiHidden/>
    <w:rsid w:val="00AD7CFC"/>
  </w:style>
  <w:style w:type="paragraph" w:customStyle="1" w:styleId="Appendixsubheading1">
    <w:name w:val="Appendix subheading 1"/>
    <w:basedOn w:val="Normal"/>
    <w:next w:val="Para0"/>
    <w:uiPriority w:val="2"/>
    <w:qFormat/>
    <w:rsid w:val="005E3F0E"/>
    <w:pPr>
      <w:numPr>
        <w:ilvl w:val="1"/>
        <w:numId w:val="8"/>
      </w:numPr>
      <w:spacing w:before="240" w:after="120" w:line="280" w:lineRule="exact"/>
    </w:pPr>
    <w:rPr>
      <w:b/>
      <w:sz w:val="24"/>
    </w:rPr>
  </w:style>
  <w:style w:type="paragraph" w:customStyle="1" w:styleId="Appendixsubheading2">
    <w:name w:val="Appendix subheading 2"/>
    <w:basedOn w:val="Normal"/>
    <w:next w:val="Para0"/>
    <w:uiPriority w:val="2"/>
    <w:qFormat/>
    <w:rsid w:val="005E3F0E"/>
    <w:pPr>
      <w:numPr>
        <w:ilvl w:val="2"/>
        <w:numId w:val="8"/>
      </w:numPr>
      <w:spacing w:before="240" w:after="120"/>
    </w:pPr>
    <w:rPr>
      <w:b/>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uiPriority w:val="5"/>
    <w:rsid w:val="003531F5"/>
    <w:rPr>
      <w:b/>
    </w:rPr>
  </w:style>
  <w:style w:type="paragraph" w:customStyle="1" w:styleId="Para1roman">
    <w:name w:val="Para 1 roman"/>
    <w:basedOn w:val="Para0roman"/>
    <w:uiPriority w:val="5"/>
    <w:rsid w:val="002D7A95"/>
    <w:pPr>
      <w:numPr>
        <w:numId w:val="37"/>
      </w:numPr>
    </w:pPr>
  </w:style>
  <w:style w:type="paragraph" w:customStyle="1" w:styleId="Para2bold">
    <w:name w:val="Para 2 bold"/>
    <w:basedOn w:val="Para2"/>
    <w:uiPriority w:val="6"/>
    <w:rsid w:val="00264230"/>
    <w:rPr>
      <w:b/>
    </w:rPr>
  </w:style>
  <w:style w:type="paragraph" w:customStyle="1" w:styleId="Para2number">
    <w:name w:val="Para 2 number"/>
    <w:basedOn w:val="Para2bullet"/>
    <w:uiPriority w:val="6"/>
    <w:rsid w:val="00E02A69"/>
    <w:pPr>
      <w:numPr>
        <w:numId w:val="38"/>
      </w:numPr>
    </w:pPr>
  </w:style>
  <w:style w:type="paragraph" w:customStyle="1" w:styleId="Para2roman">
    <w:name w:val="Para 2 roman"/>
    <w:basedOn w:val="Para2number"/>
    <w:uiPriority w:val="6"/>
    <w:rsid w:val="002D7A95"/>
    <w:pPr>
      <w:numPr>
        <w:numId w:val="34"/>
      </w:numPr>
    </w:pPr>
  </w:style>
  <w:style w:type="paragraph" w:customStyle="1" w:styleId="TableContent">
    <w:name w:val="Table Content"/>
    <w:basedOn w:val="Normal"/>
    <w:semiHidden/>
    <w:qFormat/>
    <w:rsid w:val="00AD7CFC"/>
    <w:pPr>
      <w:spacing w:before="60" w:after="60" w:line="240" w:lineRule="exact"/>
    </w:pPr>
  </w:style>
  <w:style w:type="numbering" w:customStyle="1" w:styleId="JacobsNumberedList1">
    <w:name w:val="Jacobs Numbered List 1"/>
    <w:uiPriority w:val="99"/>
    <w:rsid w:val="00E02A69"/>
    <w:pPr>
      <w:numPr>
        <w:numId w:val="16"/>
      </w:numPr>
    </w:pPr>
  </w:style>
  <w:style w:type="numbering" w:customStyle="1" w:styleId="JacobsNumberedList2">
    <w:name w:val="Jacobs Numbered List 2"/>
    <w:uiPriority w:val="99"/>
    <w:rsid w:val="007A33C5"/>
    <w:pPr>
      <w:numPr>
        <w:numId w:val="17"/>
      </w:numPr>
    </w:pPr>
  </w:style>
  <w:style w:type="numbering" w:customStyle="1" w:styleId="JacobsNumberedList3">
    <w:name w:val="Jacobs Numbered List 3"/>
    <w:uiPriority w:val="99"/>
    <w:rsid w:val="007A33C5"/>
    <w:pPr>
      <w:numPr>
        <w:numId w:val="18"/>
      </w:numPr>
    </w:pPr>
  </w:style>
  <w:style w:type="numbering" w:customStyle="1" w:styleId="JacobsBulletList1">
    <w:name w:val="Jacobs Bullet List 1"/>
    <w:uiPriority w:val="99"/>
    <w:rsid w:val="007A33C5"/>
    <w:pPr>
      <w:numPr>
        <w:numId w:val="12"/>
      </w:numPr>
    </w:pPr>
  </w:style>
  <w:style w:type="numbering" w:customStyle="1" w:styleId="JacobsBulletList2">
    <w:name w:val="Jacobs Bullet List 2"/>
    <w:uiPriority w:val="99"/>
    <w:rsid w:val="007A33C5"/>
    <w:pPr>
      <w:numPr>
        <w:numId w:val="13"/>
      </w:numPr>
    </w:pPr>
  </w:style>
  <w:style w:type="paragraph" w:customStyle="1" w:styleId="PurpleHeading">
    <w:name w:val="Purple Heading"/>
    <w:basedOn w:val="Normal"/>
    <w:semiHidden/>
    <w:rsid w:val="00AD7CFC"/>
    <w:pPr>
      <w:framePr w:hSpace="181" w:wrap="around" w:vAnchor="text" w:hAnchor="margin" w:x="142" w:y="456"/>
      <w:spacing w:before="80" w:after="0" w:line="320" w:lineRule="atLeast"/>
      <w:suppressOverlap/>
    </w:pPr>
    <w:rPr>
      <w:b/>
      <w:sz w:val="24"/>
    </w:rPr>
  </w:style>
  <w:style w:type="paragraph" w:customStyle="1" w:styleId="Purplenarrow">
    <w:name w:val="Purple narrow"/>
    <w:basedOn w:val="PurpleHeading"/>
    <w:semiHidden/>
    <w:rsid w:val="00AD7CFC"/>
    <w:pPr>
      <w:framePr w:wrap="around"/>
      <w:spacing w:before="0"/>
    </w:pPr>
    <w:rPr>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single" w:sz="8" w:space="0" w:color="5245EE" w:themeColor="accent1" w:themeTint="BF"/>
        <w:insideV w:val="single" w:sz="8" w:space="0" w:color="5245EE" w:themeColor="accent1" w:themeTint="BF"/>
      </w:tblBorders>
    </w:tblPr>
    <w:tcPr>
      <w:shd w:val="clear" w:color="auto" w:fill="C5C1F9" w:themeFill="accent1" w:themeFillTint="3F"/>
    </w:tcPr>
    <w:tblStylePr w:type="firstRow">
      <w:rPr>
        <w:b/>
        <w:bCs/>
      </w:rPr>
    </w:tblStylePr>
    <w:tblStylePr w:type="lastRow">
      <w:rPr>
        <w:b/>
        <w:bCs/>
      </w:rPr>
      <w:tblPr/>
      <w:tcPr>
        <w:tcBorders>
          <w:top w:val="single" w:sz="18" w:space="0" w:color="5245EE" w:themeColor="accent1" w:themeTint="BF"/>
        </w:tcBorders>
      </w:tcPr>
    </w:tblStylePr>
    <w:tblStylePr w:type="firstCol">
      <w:rPr>
        <w:b/>
        <w:bCs/>
      </w:rPr>
    </w:tblStylePr>
    <w:tblStylePr w:type="lastCol">
      <w:rPr>
        <w:b/>
        <w:bCs/>
      </w:rPr>
    </w:tblStylePr>
    <w:tblStylePr w:type="band1Vert">
      <w:tblPr/>
      <w:tcPr>
        <w:shd w:val="clear" w:color="auto" w:fill="8B83F3" w:themeFill="accent1" w:themeFillTint="7F"/>
      </w:tcPr>
    </w:tblStylePr>
    <w:tblStylePr w:type="band1Horz">
      <w:tblPr/>
      <w:tcPr>
        <w:shd w:val="clear" w:color="auto" w:fill="8B83F3"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Jacobs Chronos" w:hAnsi="Jacobs Chronos" w:cs="Jacobs Chronos"/>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Normal"/>
    <w:semiHidden/>
    <w:rsid w:val="004D574E"/>
    <w:pPr>
      <w:ind w:left="284"/>
    </w:pPr>
  </w:style>
  <w:style w:type="paragraph" w:customStyle="1" w:styleId="PenPicSidebartext">
    <w:name w:val="Pen Pic Sidebar text"/>
    <w:basedOn w:val="Normal"/>
    <w:semiHidden/>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Normal"/>
    <w:rsid w:val="00957619"/>
    <w:pPr>
      <w:numPr>
        <w:numId w:val="9"/>
      </w:numPr>
    </w:pPr>
    <w:rPr>
      <w:color w:val="000000"/>
      <w:sz w:val="19"/>
    </w:rPr>
  </w:style>
  <w:style w:type="numbering" w:customStyle="1" w:styleId="JacobsBulletList3">
    <w:name w:val="Jacobs Bullet List 3"/>
    <w:uiPriority w:val="99"/>
    <w:rsid w:val="007A33C5"/>
    <w:pPr>
      <w:numPr>
        <w:numId w:val="14"/>
      </w:numPr>
    </w:pPr>
  </w:style>
  <w:style w:type="numbering" w:customStyle="1" w:styleId="JacobsTableList1">
    <w:name w:val="Jacobs Table List 1"/>
    <w:uiPriority w:val="99"/>
    <w:rsid w:val="007A33C5"/>
    <w:pPr>
      <w:numPr>
        <w:numId w:val="23"/>
      </w:numPr>
    </w:pPr>
  </w:style>
  <w:style w:type="numbering" w:customStyle="1" w:styleId="JacobsTableNumberedList1">
    <w:name w:val="Jacobs Table Numbered List 1"/>
    <w:uiPriority w:val="99"/>
    <w:rsid w:val="007A33C5"/>
    <w:pPr>
      <w:numPr>
        <w:numId w:val="24"/>
      </w:numPr>
    </w:pPr>
  </w:style>
  <w:style w:type="numbering" w:customStyle="1" w:styleId="JacobsTableNumberedList2">
    <w:name w:val="Jacobs Table Numbered List 2"/>
    <w:uiPriority w:val="99"/>
    <w:rsid w:val="007A33C5"/>
    <w:pPr>
      <w:numPr>
        <w:numId w:val="25"/>
      </w:numPr>
    </w:pPr>
  </w:style>
  <w:style w:type="numbering" w:customStyle="1" w:styleId="JacobsSmallTableList1">
    <w:name w:val="Jacobs Small Table List 1"/>
    <w:uiPriority w:val="99"/>
    <w:rsid w:val="007A33C5"/>
    <w:pPr>
      <w:numPr>
        <w:numId w:val="19"/>
      </w:numPr>
    </w:pPr>
  </w:style>
  <w:style w:type="numbering" w:customStyle="1" w:styleId="JacobsSmallTableNumberedList1">
    <w:name w:val="Jacobs Small Table Numbered List 1"/>
    <w:uiPriority w:val="99"/>
    <w:rsid w:val="007A33C5"/>
    <w:pPr>
      <w:numPr>
        <w:numId w:val="20"/>
      </w:numPr>
    </w:pPr>
  </w:style>
  <w:style w:type="numbering" w:customStyle="1" w:styleId="JacobsSmallTableNumberedList2">
    <w:name w:val="Jacobs Small Table Numbered List 2"/>
    <w:uiPriority w:val="99"/>
    <w:rsid w:val="007A33C5"/>
    <w:pPr>
      <w:numPr>
        <w:numId w:val="21"/>
      </w:numPr>
    </w:pPr>
  </w:style>
  <w:style w:type="numbering" w:customStyle="1" w:styleId="JacobsBodyList">
    <w:name w:val="Jacobs Body List"/>
    <w:uiPriority w:val="99"/>
    <w:rsid w:val="007A33C5"/>
    <w:pPr>
      <w:numPr>
        <w:numId w:val="11"/>
      </w:numPr>
    </w:pPr>
  </w:style>
  <w:style w:type="numbering" w:customStyle="1" w:styleId="JacobsNarrowList">
    <w:name w:val="Jacobs Narrow List"/>
    <w:uiPriority w:val="99"/>
    <w:rsid w:val="007A33C5"/>
    <w:pPr>
      <w:numPr>
        <w:numId w:val="15"/>
      </w:numPr>
    </w:pPr>
  </w:style>
  <w:style w:type="paragraph" w:customStyle="1" w:styleId="Reference">
    <w:name w:val="Reference"/>
    <w:basedOn w:val="Para0"/>
    <w:uiPriority w:val="4"/>
    <w:qFormat/>
    <w:rsid w:val="00AD7CFC"/>
    <w:pPr>
      <w:spacing w:before="0"/>
      <w:contextualSpacing/>
    </w:pPr>
    <w:rPr>
      <w:i/>
      <w:sz w:val="14"/>
    </w:rPr>
  </w:style>
  <w:style w:type="paragraph" w:styleId="EndnoteText">
    <w:name w:val="endnote text"/>
    <w:basedOn w:val="Normal"/>
    <w:link w:val="EndnoteTextChar"/>
    <w:uiPriority w:val="24"/>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24"/>
    <w:rsid w:val="008B6D44"/>
    <w:rPr>
      <w:rFonts w:ascii="Arial" w:hAnsi="Arial"/>
      <w:sz w:val="15"/>
      <w:szCs w:val="20"/>
      <w:lang w:val="en-AU"/>
    </w:rPr>
  </w:style>
  <w:style w:type="character" w:styleId="EndnoteReference">
    <w:name w:val="endnote reference"/>
    <w:basedOn w:val="DefaultParagraphFont"/>
    <w:uiPriority w:val="24"/>
    <w:rsid w:val="00AD7CFC"/>
    <w:rPr>
      <w:rFonts w:ascii="Jacobs Chronos" w:hAnsi="Jacobs Chronos" w:cs="Jacobs Chronos"/>
      <w:sz w:val="15"/>
      <w:vertAlign w:val="superscript"/>
    </w:rPr>
  </w:style>
  <w:style w:type="paragraph" w:customStyle="1" w:styleId="CoverTitle">
    <w:name w:val="Cover Title"/>
    <w:basedOn w:val="CoverHeading2"/>
    <w:link w:val="CoverTitleChar"/>
    <w:rsid w:val="00AD7CFC"/>
    <w:rPr>
      <w:sz w:val="24"/>
    </w:rPr>
  </w:style>
  <w:style w:type="paragraph" w:customStyle="1" w:styleId="CoverHeading2">
    <w:name w:val="Cover Heading 2"/>
    <w:basedOn w:val="CoverHeading"/>
    <w:rsid w:val="00AD7CFC"/>
    <w:rPr>
      <w:color w:val="auto"/>
    </w:rPr>
  </w:style>
  <w:style w:type="paragraph" w:customStyle="1" w:styleId="CoverSubheading2">
    <w:name w:val="Cover Subheading 2"/>
    <w:basedOn w:val="CoverHeading2"/>
    <w:semiHidden/>
    <w:rsid w:val="00903EC7"/>
    <w:pPr>
      <w:spacing w:line="280" w:lineRule="exact"/>
    </w:pPr>
    <w:rPr>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rsid w:val="00821835"/>
    <w:pPr>
      <w:numPr>
        <w:numId w:val="22"/>
      </w:numPr>
    </w:pPr>
  </w:style>
  <w:style w:type="paragraph" w:customStyle="1" w:styleId="Tablesmallitem">
    <w:name w:val="Table small item"/>
    <w:basedOn w:val="Tablesmalltext"/>
    <w:uiPriority w:val="15"/>
    <w:rsid w:val="00A2456A"/>
    <w:pPr>
      <w:numPr>
        <w:numId w:val="26"/>
      </w:numPr>
    </w:pPr>
  </w:style>
  <w:style w:type="numbering" w:customStyle="1" w:styleId="JacobsTableItem">
    <w:name w:val="Jacobs Table Item"/>
    <w:uiPriority w:val="99"/>
    <w:rsid w:val="007A33C5"/>
    <w:pPr>
      <w:numPr>
        <w:numId w:val="22"/>
      </w:numPr>
    </w:pPr>
  </w:style>
  <w:style w:type="numbering" w:customStyle="1" w:styleId="JacobsTablesmallitem">
    <w:name w:val="Jacobs Table small item"/>
    <w:uiPriority w:val="99"/>
    <w:rsid w:val="007A33C5"/>
    <w:pPr>
      <w:numPr>
        <w:numId w:val="26"/>
      </w:numPr>
    </w:pPr>
  </w:style>
  <w:style w:type="paragraph" w:customStyle="1" w:styleId="Appendixsubheading3">
    <w:name w:val="Appendix subheading 3"/>
    <w:basedOn w:val="Appendixsubheading2"/>
    <w:next w:val="Para0"/>
    <w:uiPriority w:val="2"/>
    <w:rsid w:val="001F418B"/>
    <w:pPr>
      <w:numPr>
        <w:ilvl w:val="3"/>
      </w:numPr>
    </w:pPr>
  </w:style>
  <w:style w:type="paragraph" w:customStyle="1" w:styleId="Para3">
    <w:name w:val="Para 3"/>
    <w:basedOn w:val="Para2"/>
    <w:uiPriority w:val="7"/>
    <w:rsid w:val="003531F5"/>
    <w:pPr>
      <w:ind w:left="1276"/>
    </w:pPr>
  </w:style>
  <w:style w:type="paragraph" w:customStyle="1" w:styleId="Para3bold">
    <w:name w:val="Para 3 bold"/>
    <w:basedOn w:val="Para2bold"/>
    <w:uiPriority w:val="7"/>
    <w:rsid w:val="00AD7CFC"/>
    <w:pPr>
      <w:ind w:left="1276"/>
    </w:pPr>
  </w:style>
  <w:style w:type="paragraph" w:customStyle="1" w:styleId="Para3bullet">
    <w:name w:val="Para 3 bullet"/>
    <w:basedOn w:val="Para2bullet"/>
    <w:uiPriority w:val="7"/>
    <w:rsid w:val="001D7B37"/>
    <w:pPr>
      <w:ind w:left="1701"/>
    </w:pPr>
  </w:style>
  <w:style w:type="paragraph" w:customStyle="1" w:styleId="Para3dash">
    <w:name w:val="Para 3 dash"/>
    <w:basedOn w:val="Para2dash"/>
    <w:uiPriority w:val="7"/>
    <w:rsid w:val="001D7B37"/>
    <w:pPr>
      <w:ind w:left="1701"/>
    </w:pPr>
  </w:style>
  <w:style w:type="paragraph" w:customStyle="1" w:styleId="Para3number">
    <w:name w:val="Para 3 number"/>
    <w:basedOn w:val="Para2number"/>
    <w:uiPriority w:val="7"/>
    <w:rsid w:val="00E02A69"/>
    <w:pPr>
      <w:numPr>
        <w:numId w:val="29"/>
      </w:numPr>
    </w:pPr>
  </w:style>
  <w:style w:type="paragraph" w:customStyle="1" w:styleId="Para3letter">
    <w:name w:val="Para 3 letter"/>
    <w:basedOn w:val="Para2letter"/>
    <w:uiPriority w:val="7"/>
    <w:rsid w:val="008C0C17"/>
    <w:pPr>
      <w:numPr>
        <w:numId w:val="32"/>
      </w:numPr>
    </w:pPr>
  </w:style>
  <w:style w:type="paragraph" w:customStyle="1" w:styleId="Para3roman">
    <w:name w:val="Para 3 roman"/>
    <w:basedOn w:val="Para2roman"/>
    <w:uiPriority w:val="7"/>
    <w:rsid w:val="002D7A95"/>
    <w:pPr>
      <w:numPr>
        <w:numId w:val="39"/>
      </w:numPr>
      <w:tabs>
        <w:tab w:val="clear" w:pos="851"/>
      </w:tabs>
    </w:pPr>
  </w:style>
  <w:style w:type="paragraph" w:customStyle="1" w:styleId="Para4">
    <w:name w:val="Para 4"/>
    <w:basedOn w:val="Para3"/>
    <w:uiPriority w:val="8"/>
    <w:rsid w:val="00AD7CFC"/>
    <w:pPr>
      <w:ind w:left="1701"/>
    </w:pPr>
  </w:style>
  <w:style w:type="paragraph" w:customStyle="1" w:styleId="Para4bold">
    <w:name w:val="Para 4 bold"/>
    <w:basedOn w:val="Para3bold"/>
    <w:uiPriority w:val="8"/>
    <w:rsid w:val="00AD7CFC"/>
    <w:pPr>
      <w:ind w:left="1701"/>
    </w:pPr>
  </w:style>
  <w:style w:type="paragraph" w:customStyle="1" w:styleId="Para4bullet">
    <w:name w:val="Para 4 bullet"/>
    <w:basedOn w:val="Para3bullet"/>
    <w:uiPriority w:val="8"/>
    <w:rsid w:val="0066339A"/>
    <w:pPr>
      <w:ind w:left="2126"/>
    </w:pPr>
  </w:style>
  <w:style w:type="paragraph" w:customStyle="1" w:styleId="Para4dash">
    <w:name w:val="Para 4 dash"/>
    <w:basedOn w:val="Para3dash"/>
    <w:uiPriority w:val="8"/>
    <w:rsid w:val="0066339A"/>
    <w:pPr>
      <w:ind w:left="2126"/>
    </w:pPr>
  </w:style>
  <w:style w:type="paragraph" w:customStyle="1" w:styleId="Para4number">
    <w:name w:val="Para 4 number"/>
    <w:basedOn w:val="Para3number"/>
    <w:uiPriority w:val="8"/>
    <w:rsid w:val="00E02A69"/>
    <w:pPr>
      <w:numPr>
        <w:numId w:val="42"/>
      </w:numPr>
    </w:pPr>
  </w:style>
  <w:style w:type="paragraph" w:customStyle="1" w:styleId="Para4letter">
    <w:name w:val="Para 4 letter"/>
    <w:basedOn w:val="Para3letter"/>
    <w:uiPriority w:val="8"/>
    <w:rsid w:val="008C0C17"/>
    <w:pPr>
      <w:numPr>
        <w:numId w:val="44"/>
      </w:numPr>
    </w:pPr>
  </w:style>
  <w:style w:type="paragraph" w:customStyle="1" w:styleId="Para4roman">
    <w:name w:val="Para 4 roman"/>
    <w:basedOn w:val="Para3roman"/>
    <w:uiPriority w:val="8"/>
    <w:rsid w:val="002D7A95"/>
    <w:pPr>
      <w:numPr>
        <w:numId w:val="41"/>
      </w:numPr>
    </w:pPr>
  </w:style>
  <w:style w:type="paragraph" w:customStyle="1" w:styleId="ClientName">
    <w:name w:val="Client Name"/>
    <w:basedOn w:val="Tabletext"/>
    <w:uiPriority w:val="19"/>
    <w:qFormat/>
    <w:rsid w:val="003C2143"/>
    <w:pPr>
      <w:spacing w:before="0" w:after="200"/>
      <w:ind w:right="851"/>
    </w:pPr>
  </w:style>
  <w:style w:type="character" w:customStyle="1" w:styleId="Para0Char">
    <w:name w:val="Para 0 Char"/>
    <w:aliases w:val="Auto Char,After:  3 pt Char Char"/>
    <w:basedOn w:val="DefaultParagraphFont"/>
    <w:link w:val="Para0"/>
    <w:qFormat/>
    <w:rsid w:val="003531F5"/>
    <w:rPr>
      <w:rFonts w:ascii="Jacobs Chronos" w:hAnsi="Jacobs Chronos" w:cs="Jacobs Chronos"/>
      <w:sz w:val="20"/>
      <w:lang w:val="en-GB"/>
    </w:rPr>
  </w:style>
  <w:style w:type="paragraph" w:styleId="IntenseQuote">
    <w:name w:val="Intense Quote"/>
    <w:basedOn w:val="Normal"/>
    <w:next w:val="Normal"/>
    <w:link w:val="IntenseQuoteChar"/>
    <w:uiPriority w:val="30"/>
    <w:semiHidden/>
    <w:rsid w:val="00AD7CFC"/>
    <w:pPr>
      <w:pBdr>
        <w:bottom w:val="single" w:sz="4" w:space="4" w:color="2314DC" w:themeColor="accent1"/>
      </w:pBdr>
      <w:spacing w:before="200" w:after="280"/>
      <w:ind w:left="936" w:right="936"/>
    </w:pPr>
    <w:rPr>
      <w:b/>
      <w:bCs/>
      <w:i/>
      <w:iCs/>
      <w:color w:val="2314DC" w:themeColor="accent1"/>
    </w:rPr>
  </w:style>
  <w:style w:type="character" w:customStyle="1" w:styleId="IntenseQuoteChar">
    <w:name w:val="Intense Quote Char"/>
    <w:basedOn w:val="DefaultParagraphFont"/>
    <w:link w:val="IntenseQuote"/>
    <w:uiPriority w:val="30"/>
    <w:semiHidden/>
    <w:rsid w:val="00AD7CFC"/>
    <w:rPr>
      <w:rFonts w:ascii="Arial" w:hAnsi="Arial"/>
      <w:b/>
      <w:bCs/>
      <w:i/>
      <w:iCs/>
      <w:color w:val="2314DC"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semiHidden/>
    <w:rsid w:val="00AD7CFC"/>
    <w:rPr>
      <w:i/>
      <w:iCs/>
    </w:rPr>
  </w:style>
  <w:style w:type="character" w:customStyle="1" w:styleId="QuoteChar">
    <w:name w:val="Quote Char"/>
    <w:basedOn w:val="DefaultParagraphFont"/>
    <w:link w:val="Quote"/>
    <w:uiPriority w:val="29"/>
    <w:semiHidden/>
    <w:rsid w:val="00AD7CFC"/>
    <w:rPr>
      <w:rFonts w:ascii="Jacobs Chronos" w:hAnsi="Jacobs Chronos" w:cs="Jacobs Chronos"/>
      <w:i/>
      <w:iCs/>
      <w:sz w:val="20"/>
    </w:rPr>
  </w:style>
  <w:style w:type="paragraph" w:styleId="Subtitle">
    <w:name w:val="Subtitle"/>
    <w:basedOn w:val="Normal"/>
    <w:next w:val="Normal"/>
    <w:link w:val="SubtitleChar"/>
    <w:uiPriority w:val="11"/>
    <w:semiHidden/>
    <w:rsid w:val="00AD7CFC"/>
    <w:pPr>
      <w:numPr>
        <w:ilvl w:val="1"/>
      </w:numPr>
    </w:pPr>
    <w:rPr>
      <w:rFonts w:asciiTheme="majorHAnsi" w:eastAsiaTheme="majorEastAsia" w:hAnsiTheme="majorHAnsi" w:cstheme="majorBidi"/>
      <w:i/>
      <w:iCs/>
      <w:color w:val="2314DC" w:themeColor="accent1"/>
      <w:spacing w:val="15"/>
      <w:sz w:val="24"/>
    </w:rPr>
  </w:style>
  <w:style w:type="character" w:customStyle="1" w:styleId="SubtitleChar">
    <w:name w:val="Subtitle Char"/>
    <w:basedOn w:val="DefaultParagraphFont"/>
    <w:link w:val="Subtitle"/>
    <w:uiPriority w:val="11"/>
    <w:semiHidden/>
    <w:rsid w:val="00AD7CFC"/>
    <w:rPr>
      <w:rFonts w:asciiTheme="majorHAnsi" w:eastAsiaTheme="majorEastAsia" w:hAnsiTheme="majorHAnsi" w:cstheme="majorBidi"/>
      <w:i/>
      <w:iCs/>
      <w:color w:val="2314DC" w:themeColor="accent1"/>
      <w:spacing w:val="15"/>
      <w:lang w:val="en-AU"/>
    </w:rPr>
  </w:style>
  <w:style w:type="paragraph" w:customStyle="1" w:styleId="EmptyHeader">
    <w:name w:val="Empty Header"/>
    <w:basedOn w:val="Header"/>
    <w:rsid w:val="0085252A"/>
    <w:pPr>
      <w:spacing w:line="20" w:lineRule="exact"/>
    </w:pPr>
    <w:rPr>
      <w:sz w:val="2"/>
    </w:rPr>
  </w:style>
  <w:style w:type="paragraph" w:customStyle="1" w:styleId="HeaderSpacer">
    <w:name w:val="Header Spacer"/>
    <w:basedOn w:val="Header"/>
    <w:rsid w:val="00014CF3"/>
    <w:pPr>
      <w:spacing w:line="480" w:lineRule="exact"/>
    </w:pPr>
  </w:style>
  <w:style w:type="table" w:customStyle="1" w:styleId="JacobsBlue">
    <w:name w:val="Jacobs Blue"/>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Name3">
    <w:name w:val="Name 3"/>
    <w:basedOn w:val="Name1"/>
    <w:semiHidden/>
    <w:rsid w:val="00CD27CA"/>
    <w:pPr>
      <w:ind w:left="3402"/>
      <w:jc w:val="left"/>
    </w:pPr>
  </w:style>
  <w:style w:type="paragraph" w:customStyle="1" w:styleId="SummaryBoxBullet">
    <w:name w:val="Summary Box Bullet"/>
    <w:basedOn w:val="Normal"/>
    <w:unhideWhenUsed/>
    <w:rsid w:val="00C01030"/>
    <w:pPr>
      <w:numPr>
        <w:numId w:val="10"/>
      </w:numPr>
    </w:pPr>
    <w:rPr>
      <w:rFonts w:cs="Arial"/>
      <w:color w:val="666666"/>
      <w:szCs w:val="18"/>
    </w:rPr>
  </w:style>
  <w:style w:type="paragraph" w:customStyle="1" w:styleId="SummaryBoxHeading">
    <w:name w:val="Summary Box Heading"/>
    <w:basedOn w:val="Normal"/>
    <w:next w:val="Normal"/>
    <w:unhideWhenUsed/>
    <w:rsid w:val="00C01030"/>
    <w:pPr>
      <w:autoSpaceDE w:val="0"/>
      <w:autoSpaceDN w:val="0"/>
      <w:adjustRightInd w:val="0"/>
      <w:spacing w:after="0" w:line="240" w:lineRule="auto"/>
    </w:pPr>
    <w:rPr>
      <w:rFonts w:cs="Arial"/>
      <w:b/>
      <w:bCs/>
      <w:color w:val="000000"/>
      <w:sz w:val="22"/>
      <w:szCs w:val="22"/>
      <w:lang w:val="en-AU"/>
    </w:rPr>
  </w:style>
  <w:style w:type="paragraph" w:customStyle="1" w:styleId="SummaryBoxText">
    <w:name w:val="Summary Box Text"/>
    <w:basedOn w:val="Normal"/>
    <w:unhideWhenUsed/>
    <w:rsid w:val="00C01030"/>
    <w:pPr>
      <w:autoSpaceDE w:val="0"/>
      <w:autoSpaceDN w:val="0"/>
      <w:adjustRightInd w:val="0"/>
      <w:spacing w:after="60" w:line="240" w:lineRule="auto"/>
    </w:pPr>
    <w:rPr>
      <w:rFonts w:cs="Arial"/>
      <w:bCs/>
      <w:color w:val="666666"/>
      <w:sz w:val="18"/>
      <w:szCs w:val="18"/>
      <w:lang w:val="en-AU"/>
    </w:rPr>
  </w:style>
  <w:style w:type="paragraph" w:customStyle="1" w:styleId="QuoteBoxSubtext">
    <w:name w:val="Quote Box Subtext"/>
    <w:basedOn w:val="Normal"/>
    <w:unhideWhenUsed/>
    <w:rsid w:val="00C01030"/>
    <w:pPr>
      <w:spacing w:after="60" w:line="240" w:lineRule="auto"/>
    </w:pPr>
    <w:rPr>
      <w:rFonts w:cs="Arial"/>
      <w:b/>
      <w:szCs w:val="20"/>
      <w:lang w:val="en-AU"/>
    </w:rPr>
  </w:style>
  <w:style w:type="paragraph" w:customStyle="1" w:styleId="QuoteBoxSubtextItalics">
    <w:name w:val="Quote Box Subtext Italics"/>
    <w:basedOn w:val="QuoteBoxSubtext"/>
    <w:unhideWhenUsed/>
    <w:rsid w:val="00C01030"/>
    <w:rPr>
      <w:b w:val="0"/>
      <w:i/>
    </w:rPr>
  </w:style>
  <w:style w:type="paragraph" w:customStyle="1" w:styleId="QuoteBoxText">
    <w:name w:val="Quote Box Text"/>
    <w:basedOn w:val="Normal"/>
    <w:unhideWhenUsed/>
    <w:rsid w:val="00C01030"/>
    <w:rPr>
      <w:rFonts w:cs="Arial"/>
      <w:b/>
      <w:sz w:val="24"/>
    </w:rPr>
  </w:style>
  <w:style w:type="paragraph" w:customStyle="1" w:styleId="ImageCaptionHeading">
    <w:name w:val="Image Caption Heading"/>
    <w:basedOn w:val="Normal"/>
    <w:next w:val="Normal"/>
    <w:unhideWhenUsed/>
    <w:rsid w:val="00C01030"/>
    <w:pPr>
      <w:spacing w:after="0" w:line="200" w:lineRule="exact"/>
    </w:pPr>
    <w:rPr>
      <w:rFonts w:cs="Arial"/>
      <w:b/>
      <w:color w:val="999999"/>
      <w:sz w:val="16"/>
      <w:szCs w:val="16"/>
      <w:lang w:val="en-AU"/>
    </w:rPr>
  </w:style>
  <w:style w:type="paragraph" w:customStyle="1" w:styleId="ImageCaptionSubtext">
    <w:name w:val="Image Caption Subtext"/>
    <w:basedOn w:val="ImageCaptionHeading"/>
    <w:unhideWhenUsed/>
    <w:rsid w:val="00C01030"/>
    <w:rPr>
      <w:b w:val="0"/>
    </w:rPr>
  </w:style>
  <w:style w:type="numbering" w:customStyle="1" w:styleId="JacobsNumberedList11">
    <w:name w:val="Jacobs Numbered List 1.1"/>
    <w:uiPriority w:val="99"/>
    <w:rsid w:val="00E02A69"/>
    <w:pPr>
      <w:numPr>
        <w:numId w:val="27"/>
      </w:numPr>
    </w:pPr>
  </w:style>
  <w:style w:type="numbering" w:customStyle="1" w:styleId="JacobsNumberedList12">
    <w:name w:val="Jacobs Numbered List 1.2"/>
    <w:uiPriority w:val="99"/>
    <w:rsid w:val="007C4C2F"/>
    <w:pPr>
      <w:numPr>
        <w:numId w:val="28"/>
      </w:numPr>
    </w:pPr>
  </w:style>
  <w:style w:type="numbering" w:customStyle="1" w:styleId="JacobsNumberedList13">
    <w:name w:val="Jacobs Numbered List 1.3"/>
    <w:uiPriority w:val="99"/>
    <w:rsid w:val="00E02A69"/>
    <w:pPr>
      <w:numPr>
        <w:numId w:val="29"/>
      </w:numPr>
    </w:pPr>
  </w:style>
  <w:style w:type="numbering" w:customStyle="1" w:styleId="JacobsNumberedList21">
    <w:name w:val="Jacobs Numbered List 2.1"/>
    <w:uiPriority w:val="99"/>
    <w:rsid w:val="007C4C2F"/>
    <w:pPr>
      <w:numPr>
        <w:numId w:val="30"/>
      </w:numPr>
    </w:pPr>
  </w:style>
  <w:style w:type="numbering" w:customStyle="1" w:styleId="JacobsNumberedList22">
    <w:name w:val="Jacobs Numbered List 2.2"/>
    <w:uiPriority w:val="99"/>
    <w:rsid w:val="008C0C17"/>
    <w:pPr>
      <w:numPr>
        <w:numId w:val="31"/>
      </w:numPr>
    </w:pPr>
  </w:style>
  <w:style w:type="numbering" w:customStyle="1" w:styleId="JacobsNumberedList23">
    <w:name w:val="Jacobs Numbered List 2.3"/>
    <w:uiPriority w:val="99"/>
    <w:rsid w:val="008C0C17"/>
    <w:pPr>
      <w:numPr>
        <w:numId w:val="32"/>
      </w:numPr>
    </w:pPr>
  </w:style>
  <w:style w:type="numbering" w:customStyle="1" w:styleId="JacobsNumberedList31">
    <w:name w:val="Jacobs Numbered List 3.1"/>
    <w:uiPriority w:val="99"/>
    <w:rsid w:val="007C4C2F"/>
    <w:pPr>
      <w:numPr>
        <w:numId w:val="33"/>
      </w:numPr>
    </w:pPr>
  </w:style>
  <w:style w:type="numbering" w:customStyle="1" w:styleId="JacobsNumberedList32">
    <w:name w:val="Jacobs Numbered List 3.2"/>
    <w:uiPriority w:val="99"/>
    <w:rsid w:val="002D7A95"/>
    <w:pPr>
      <w:numPr>
        <w:numId w:val="34"/>
      </w:numPr>
    </w:pPr>
  </w:style>
  <w:style w:type="numbering" w:customStyle="1" w:styleId="JacobsNumberedList33">
    <w:name w:val="Jacobs Numbered List 3.3"/>
    <w:uiPriority w:val="99"/>
    <w:rsid w:val="007C4C2F"/>
    <w:pPr>
      <w:numPr>
        <w:numId w:val="35"/>
      </w:numPr>
    </w:pPr>
  </w:style>
  <w:style w:type="numbering" w:customStyle="1" w:styleId="JacobsNumberedList34">
    <w:name w:val="Jacobs Numbered List 3.4"/>
    <w:uiPriority w:val="99"/>
    <w:rsid w:val="008A127C"/>
    <w:pPr>
      <w:numPr>
        <w:numId w:val="40"/>
      </w:numPr>
    </w:pPr>
  </w:style>
  <w:style w:type="numbering" w:customStyle="1" w:styleId="JacobsNumberedList14">
    <w:name w:val="Jacobs Numbered List 1.4"/>
    <w:uiPriority w:val="99"/>
    <w:rsid w:val="00E02A69"/>
    <w:pPr>
      <w:numPr>
        <w:numId w:val="42"/>
      </w:numPr>
    </w:pPr>
  </w:style>
  <w:style w:type="numbering" w:customStyle="1" w:styleId="JacobsNumberedList24">
    <w:name w:val="Jacobs Numbered List 2.4"/>
    <w:uiPriority w:val="99"/>
    <w:rsid w:val="000E3677"/>
    <w:pPr>
      <w:numPr>
        <w:numId w:val="43"/>
      </w:numPr>
    </w:pPr>
  </w:style>
  <w:style w:type="paragraph" w:customStyle="1" w:styleId="Table2bullet">
    <w:name w:val="Table 2 bullet"/>
    <w:basedOn w:val="Normal"/>
    <w:uiPriority w:val="15"/>
    <w:rsid w:val="009E5D83"/>
    <w:pPr>
      <w:numPr>
        <w:numId w:val="46"/>
      </w:numPr>
      <w:spacing w:before="60" w:after="60"/>
      <w:ind w:left="568" w:hanging="284"/>
    </w:pPr>
  </w:style>
  <w:style w:type="paragraph" w:customStyle="1" w:styleId="Table2number">
    <w:name w:val="Table 2 number"/>
    <w:basedOn w:val="Normal"/>
    <w:uiPriority w:val="15"/>
    <w:rsid w:val="00AA014D"/>
    <w:pPr>
      <w:numPr>
        <w:numId w:val="54"/>
      </w:numPr>
      <w:spacing w:before="60" w:after="60"/>
    </w:pPr>
  </w:style>
  <w:style w:type="paragraph" w:customStyle="1" w:styleId="Table2letter">
    <w:name w:val="Table 2 letter"/>
    <w:basedOn w:val="Normal"/>
    <w:uiPriority w:val="15"/>
    <w:rsid w:val="00AA014D"/>
    <w:pPr>
      <w:numPr>
        <w:numId w:val="55"/>
      </w:numPr>
      <w:spacing w:before="60" w:after="60"/>
    </w:pPr>
  </w:style>
  <w:style w:type="paragraph" w:customStyle="1" w:styleId="Table2item">
    <w:name w:val="Table 2 item"/>
    <w:basedOn w:val="Normal"/>
    <w:uiPriority w:val="15"/>
    <w:rsid w:val="00AA014D"/>
    <w:pPr>
      <w:numPr>
        <w:numId w:val="56"/>
      </w:numPr>
      <w:spacing w:before="60" w:after="60"/>
    </w:pPr>
  </w:style>
  <w:style w:type="paragraph" w:customStyle="1" w:styleId="Table2smallbullet">
    <w:name w:val="Table 2 small bullet"/>
    <w:basedOn w:val="Normal"/>
    <w:uiPriority w:val="16"/>
    <w:rsid w:val="009E5D83"/>
    <w:pPr>
      <w:numPr>
        <w:numId w:val="50"/>
      </w:numPr>
      <w:spacing w:before="40" w:after="40"/>
    </w:pPr>
    <w:rPr>
      <w:sz w:val="16"/>
    </w:rPr>
  </w:style>
  <w:style w:type="paragraph" w:customStyle="1" w:styleId="Table2smallnumber">
    <w:name w:val="Table 2 small number"/>
    <w:basedOn w:val="Normal"/>
    <w:uiPriority w:val="16"/>
    <w:rsid w:val="009E5D83"/>
    <w:pPr>
      <w:numPr>
        <w:numId w:val="51"/>
      </w:numPr>
      <w:spacing w:before="40" w:after="40"/>
    </w:pPr>
    <w:rPr>
      <w:sz w:val="16"/>
    </w:rPr>
  </w:style>
  <w:style w:type="paragraph" w:customStyle="1" w:styleId="Table2smallletter">
    <w:name w:val="Table 2 small letter"/>
    <w:basedOn w:val="Normal"/>
    <w:uiPriority w:val="16"/>
    <w:rsid w:val="009E5D83"/>
    <w:pPr>
      <w:numPr>
        <w:numId w:val="52"/>
      </w:numPr>
      <w:spacing w:before="40" w:after="40"/>
    </w:pPr>
    <w:rPr>
      <w:sz w:val="16"/>
    </w:rPr>
  </w:style>
  <w:style w:type="paragraph" w:customStyle="1" w:styleId="Table2smallitem">
    <w:name w:val="Table 2 small item"/>
    <w:basedOn w:val="Normal"/>
    <w:uiPriority w:val="16"/>
    <w:rsid w:val="009E5D83"/>
    <w:pPr>
      <w:numPr>
        <w:numId w:val="53"/>
      </w:numPr>
      <w:spacing w:before="40" w:after="40"/>
    </w:pPr>
    <w:rPr>
      <w:sz w:val="16"/>
    </w:rPr>
  </w:style>
  <w:style w:type="numbering" w:customStyle="1" w:styleId="JacobsTable2List1">
    <w:name w:val="Jacobs Table 2 List 1"/>
    <w:uiPriority w:val="99"/>
    <w:rsid w:val="003C5544"/>
    <w:pPr>
      <w:numPr>
        <w:numId w:val="45"/>
      </w:numPr>
    </w:pPr>
  </w:style>
  <w:style w:type="numbering" w:customStyle="1" w:styleId="JacobsTable2NumberedList1">
    <w:name w:val="Jacobs Table 2 Numbered List 1"/>
    <w:uiPriority w:val="99"/>
    <w:rsid w:val="00AA014D"/>
    <w:pPr>
      <w:numPr>
        <w:numId w:val="47"/>
      </w:numPr>
    </w:pPr>
  </w:style>
  <w:style w:type="numbering" w:customStyle="1" w:styleId="JacobsTable2NumberdList2">
    <w:name w:val="Jacobs Table 2 Numberd List 2"/>
    <w:uiPriority w:val="99"/>
    <w:rsid w:val="00AA014D"/>
    <w:pPr>
      <w:numPr>
        <w:numId w:val="48"/>
      </w:numPr>
    </w:pPr>
  </w:style>
  <w:style w:type="numbering" w:customStyle="1" w:styleId="JacobsTable2Item">
    <w:name w:val="Jacobs Table 2 Item"/>
    <w:uiPriority w:val="99"/>
    <w:rsid w:val="00AA014D"/>
    <w:pPr>
      <w:numPr>
        <w:numId w:val="49"/>
      </w:numPr>
    </w:pPr>
  </w:style>
  <w:style w:type="numbering" w:customStyle="1" w:styleId="JacobsTable2SmallList1">
    <w:name w:val="Jacobs Table 2 Small List 1"/>
    <w:uiPriority w:val="99"/>
    <w:rsid w:val="00F42C22"/>
    <w:pPr>
      <w:numPr>
        <w:numId w:val="50"/>
      </w:numPr>
    </w:pPr>
  </w:style>
  <w:style w:type="numbering" w:customStyle="1" w:styleId="JacobsTable2SmallNumberedList1">
    <w:name w:val="Jacobs Table 2 Small Numbered List 1"/>
    <w:uiPriority w:val="99"/>
    <w:rsid w:val="00F42C22"/>
    <w:pPr>
      <w:numPr>
        <w:numId w:val="51"/>
      </w:numPr>
    </w:pPr>
  </w:style>
  <w:style w:type="numbering" w:customStyle="1" w:styleId="JacobsTable2SmallNumberedList2">
    <w:name w:val="Jacobs Table 2 Small Numbered List 2"/>
    <w:uiPriority w:val="99"/>
    <w:rsid w:val="00F42C22"/>
    <w:pPr>
      <w:numPr>
        <w:numId w:val="52"/>
      </w:numPr>
    </w:pPr>
  </w:style>
  <w:style w:type="numbering" w:customStyle="1" w:styleId="JacobsTable2SmallItem">
    <w:name w:val="Jacobs Table 2 Small Item"/>
    <w:uiPriority w:val="99"/>
    <w:rsid w:val="00F42C22"/>
    <w:pPr>
      <w:numPr>
        <w:numId w:val="53"/>
      </w:numPr>
    </w:pPr>
  </w:style>
  <w:style w:type="paragraph" w:customStyle="1" w:styleId="SingleSequential">
    <w:name w:val="Single Sequential"/>
    <w:basedOn w:val="Normal"/>
    <w:rsid w:val="006F0FBC"/>
    <w:pPr>
      <w:numPr>
        <w:numId w:val="58"/>
      </w:numPr>
    </w:pPr>
  </w:style>
  <w:style w:type="paragraph" w:customStyle="1" w:styleId="Sequential1">
    <w:name w:val="Sequential 1"/>
    <w:basedOn w:val="SingleSequential"/>
    <w:rsid w:val="00457C9C"/>
    <w:pPr>
      <w:numPr>
        <w:numId w:val="0"/>
      </w:numPr>
    </w:pPr>
  </w:style>
  <w:style w:type="numbering" w:customStyle="1" w:styleId="JacobsSingleSequentialList">
    <w:name w:val="Jacobs Single Sequential List"/>
    <w:uiPriority w:val="99"/>
    <w:rsid w:val="004646A4"/>
    <w:pPr>
      <w:numPr>
        <w:numId w:val="57"/>
      </w:numPr>
    </w:pPr>
  </w:style>
  <w:style w:type="paragraph" w:customStyle="1" w:styleId="Table2heading">
    <w:name w:val="Table 2 heading"/>
    <w:basedOn w:val="Tableheading"/>
    <w:rsid w:val="0008100C"/>
    <w:pPr>
      <w:ind w:left="284"/>
    </w:pPr>
    <w:rPr>
      <w:b w:val="0"/>
      <w:lang w:val="en-AU"/>
    </w:rPr>
  </w:style>
  <w:style w:type="paragraph" w:customStyle="1" w:styleId="Table2smallheading">
    <w:name w:val="Table 2 small heading"/>
    <w:basedOn w:val="Tablesmallheading"/>
    <w:rsid w:val="0008100C"/>
    <w:pPr>
      <w:ind w:left="284"/>
    </w:pPr>
    <w:rPr>
      <w:lang w:val="en-AU"/>
    </w:rPr>
  </w:style>
  <w:style w:type="paragraph" w:customStyle="1" w:styleId="Table2smalltext">
    <w:name w:val="Table 2 small text"/>
    <w:basedOn w:val="Tablesmalltext"/>
    <w:rsid w:val="0008100C"/>
    <w:pPr>
      <w:ind w:left="284"/>
    </w:pPr>
    <w:rPr>
      <w:lang w:val="en-AU"/>
    </w:rPr>
  </w:style>
  <w:style w:type="paragraph" w:customStyle="1" w:styleId="Table2text">
    <w:name w:val="Table 2 text"/>
    <w:basedOn w:val="Tabletext"/>
    <w:rsid w:val="0008100C"/>
    <w:pPr>
      <w:ind w:left="284"/>
    </w:pPr>
    <w:rPr>
      <w:lang w:val="en-AU"/>
    </w:rPr>
  </w:style>
  <w:style w:type="numbering" w:styleId="111111">
    <w:name w:val="Outline List 2"/>
    <w:basedOn w:val="NoList"/>
    <w:uiPriority w:val="99"/>
    <w:semiHidden/>
    <w:unhideWhenUsed/>
    <w:rsid w:val="00B632CF"/>
    <w:pPr>
      <w:numPr>
        <w:numId w:val="59"/>
      </w:numPr>
    </w:pPr>
  </w:style>
  <w:style w:type="numbering" w:styleId="1ai">
    <w:name w:val="Outline List 1"/>
    <w:basedOn w:val="NoList"/>
    <w:uiPriority w:val="99"/>
    <w:semiHidden/>
    <w:unhideWhenUsed/>
    <w:rsid w:val="00B632CF"/>
    <w:pPr>
      <w:numPr>
        <w:numId w:val="60"/>
      </w:numPr>
    </w:pPr>
  </w:style>
  <w:style w:type="numbering" w:styleId="ArticleSection">
    <w:name w:val="Outline List 3"/>
    <w:basedOn w:val="NoList"/>
    <w:uiPriority w:val="99"/>
    <w:semiHidden/>
    <w:unhideWhenUsed/>
    <w:rsid w:val="00B632CF"/>
    <w:pPr>
      <w:numPr>
        <w:numId w:val="61"/>
      </w:numPr>
    </w:pPr>
  </w:style>
  <w:style w:type="paragraph" w:styleId="Bibliography">
    <w:name w:val="Bibliography"/>
    <w:basedOn w:val="Normal"/>
    <w:next w:val="Normal"/>
    <w:uiPriority w:val="37"/>
    <w:semiHidden/>
    <w:unhideWhenUsed/>
    <w:rsid w:val="00B632CF"/>
  </w:style>
  <w:style w:type="paragraph" w:styleId="BlockText">
    <w:name w:val="Block Text"/>
    <w:basedOn w:val="Normal"/>
    <w:uiPriority w:val="99"/>
    <w:semiHidden/>
    <w:unhideWhenUsed/>
    <w:rsid w:val="00B632CF"/>
    <w:pPr>
      <w:pBdr>
        <w:top w:val="single" w:sz="2" w:space="10" w:color="2314DC" w:themeColor="accent1"/>
        <w:left w:val="single" w:sz="2" w:space="10" w:color="2314DC" w:themeColor="accent1"/>
        <w:bottom w:val="single" w:sz="2" w:space="10" w:color="2314DC" w:themeColor="accent1"/>
        <w:right w:val="single" w:sz="2" w:space="10" w:color="2314DC" w:themeColor="accent1"/>
      </w:pBdr>
      <w:ind w:left="1152" w:right="1152"/>
    </w:pPr>
    <w:rPr>
      <w:rFonts w:asciiTheme="minorHAnsi" w:hAnsiTheme="minorHAnsi" w:cstheme="minorBidi"/>
      <w:i/>
      <w:iCs/>
      <w:color w:val="2314DC" w:themeColor="accent1"/>
    </w:rPr>
  </w:style>
  <w:style w:type="paragraph" w:styleId="BodyText">
    <w:name w:val="Body Text"/>
    <w:basedOn w:val="Normal"/>
    <w:link w:val="BodyTextChar"/>
    <w:uiPriority w:val="99"/>
    <w:semiHidden/>
    <w:unhideWhenUsed/>
    <w:rsid w:val="00B632CF"/>
    <w:pPr>
      <w:spacing w:after="120"/>
    </w:pPr>
  </w:style>
  <w:style w:type="character" w:customStyle="1" w:styleId="BodyTextChar">
    <w:name w:val="Body Text Char"/>
    <w:basedOn w:val="DefaultParagraphFont"/>
    <w:link w:val="BodyText"/>
    <w:uiPriority w:val="99"/>
    <w:semiHidden/>
    <w:rsid w:val="00B632CF"/>
    <w:rPr>
      <w:rFonts w:ascii="Jacobs Chronos" w:hAnsi="Jacobs Chronos" w:cs="Jacobs Chronos"/>
      <w:sz w:val="20"/>
    </w:rPr>
  </w:style>
  <w:style w:type="paragraph" w:styleId="BodyText2">
    <w:name w:val="Body Text 2"/>
    <w:basedOn w:val="Normal"/>
    <w:link w:val="BodyText2Char"/>
    <w:uiPriority w:val="99"/>
    <w:semiHidden/>
    <w:unhideWhenUsed/>
    <w:rsid w:val="00B632CF"/>
    <w:pPr>
      <w:spacing w:after="120" w:line="480" w:lineRule="auto"/>
    </w:pPr>
  </w:style>
  <w:style w:type="character" w:customStyle="1" w:styleId="BodyText2Char">
    <w:name w:val="Body Text 2 Char"/>
    <w:basedOn w:val="DefaultParagraphFont"/>
    <w:link w:val="BodyText2"/>
    <w:uiPriority w:val="99"/>
    <w:semiHidden/>
    <w:rsid w:val="00B632CF"/>
    <w:rPr>
      <w:rFonts w:ascii="Jacobs Chronos" w:hAnsi="Jacobs Chronos" w:cs="Jacobs Chronos"/>
      <w:sz w:val="20"/>
    </w:rPr>
  </w:style>
  <w:style w:type="paragraph" w:styleId="BodyText3">
    <w:name w:val="Body Text 3"/>
    <w:basedOn w:val="Normal"/>
    <w:link w:val="BodyText3Char"/>
    <w:uiPriority w:val="99"/>
    <w:semiHidden/>
    <w:unhideWhenUsed/>
    <w:rsid w:val="00B632CF"/>
    <w:pPr>
      <w:spacing w:after="120"/>
    </w:pPr>
    <w:rPr>
      <w:sz w:val="16"/>
      <w:szCs w:val="16"/>
    </w:rPr>
  </w:style>
  <w:style w:type="character" w:customStyle="1" w:styleId="BodyText3Char">
    <w:name w:val="Body Text 3 Char"/>
    <w:basedOn w:val="DefaultParagraphFont"/>
    <w:link w:val="BodyText3"/>
    <w:uiPriority w:val="99"/>
    <w:semiHidden/>
    <w:rsid w:val="00B632CF"/>
    <w:rPr>
      <w:rFonts w:ascii="Jacobs Chronos" w:hAnsi="Jacobs Chronos" w:cs="Jacobs Chronos"/>
      <w:sz w:val="16"/>
      <w:szCs w:val="16"/>
    </w:rPr>
  </w:style>
  <w:style w:type="paragraph" w:styleId="BodyTextFirstIndent">
    <w:name w:val="Body Text First Indent"/>
    <w:basedOn w:val="BodyText"/>
    <w:link w:val="BodyTextFirstIndentChar"/>
    <w:uiPriority w:val="99"/>
    <w:semiHidden/>
    <w:unhideWhenUsed/>
    <w:rsid w:val="00B632CF"/>
    <w:pPr>
      <w:spacing w:after="220"/>
      <w:ind w:firstLine="360"/>
    </w:pPr>
  </w:style>
  <w:style w:type="character" w:customStyle="1" w:styleId="BodyTextFirstIndentChar">
    <w:name w:val="Body Text First Indent Char"/>
    <w:basedOn w:val="BodyTextChar"/>
    <w:link w:val="BodyTextFirstIndent"/>
    <w:uiPriority w:val="99"/>
    <w:semiHidden/>
    <w:rsid w:val="00B632CF"/>
    <w:rPr>
      <w:rFonts w:ascii="Jacobs Chronos" w:hAnsi="Jacobs Chronos" w:cs="Jacobs Chronos"/>
      <w:sz w:val="20"/>
    </w:rPr>
  </w:style>
  <w:style w:type="paragraph" w:styleId="BodyTextIndent">
    <w:name w:val="Body Text Indent"/>
    <w:basedOn w:val="Normal"/>
    <w:link w:val="BodyTextIndentChar"/>
    <w:uiPriority w:val="99"/>
    <w:semiHidden/>
    <w:unhideWhenUsed/>
    <w:rsid w:val="00B632CF"/>
    <w:pPr>
      <w:spacing w:after="120"/>
      <w:ind w:left="283"/>
    </w:pPr>
  </w:style>
  <w:style w:type="character" w:customStyle="1" w:styleId="BodyTextIndentChar">
    <w:name w:val="Body Text Indent Char"/>
    <w:basedOn w:val="DefaultParagraphFont"/>
    <w:link w:val="BodyTextIndent"/>
    <w:uiPriority w:val="99"/>
    <w:semiHidden/>
    <w:rsid w:val="00B632CF"/>
    <w:rPr>
      <w:rFonts w:ascii="Jacobs Chronos" w:hAnsi="Jacobs Chronos" w:cs="Jacobs Chronos"/>
      <w:sz w:val="20"/>
    </w:rPr>
  </w:style>
  <w:style w:type="paragraph" w:styleId="BodyTextFirstIndent2">
    <w:name w:val="Body Text First Indent 2"/>
    <w:basedOn w:val="BodyTextIndent"/>
    <w:link w:val="BodyTextFirstIndent2Char"/>
    <w:uiPriority w:val="99"/>
    <w:semiHidden/>
    <w:unhideWhenUsed/>
    <w:rsid w:val="00B632CF"/>
    <w:pPr>
      <w:spacing w:after="220"/>
      <w:ind w:left="360" w:firstLine="360"/>
    </w:pPr>
  </w:style>
  <w:style w:type="character" w:customStyle="1" w:styleId="BodyTextFirstIndent2Char">
    <w:name w:val="Body Text First Indent 2 Char"/>
    <w:basedOn w:val="BodyTextIndentChar"/>
    <w:link w:val="BodyTextFirstIndent2"/>
    <w:uiPriority w:val="99"/>
    <w:semiHidden/>
    <w:rsid w:val="00B632CF"/>
    <w:rPr>
      <w:rFonts w:ascii="Jacobs Chronos" w:hAnsi="Jacobs Chronos" w:cs="Jacobs Chronos"/>
      <w:sz w:val="20"/>
    </w:rPr>
  </w:style>
  <w:style w:type="paragraph" w:styleId="BodyTextIndent2">
    <w:name w:val="Body Text Indent 2"/>
    <w:basedOn w:val="Normal"/>
    <w:link w:val="BodyTextIndent2Char"/>
    <w:uiPriority w:val="99"/>
    <w:semiHidden/>
    <w:unhideWhenUsed/>
    <w:rsid w:val="00B632CF"/>
    <w:pPr>
      <w:spacing w:after="120" w:line="480" w:lineRule="auto"/>
      <w:ind w:left="283"/>
    </w:pPr>
  </w:style>
  <w:style w:type="character" w:customStyle="1" w:styleId="BodyTextIndent2Char">
    <w:name w:val="Body Text Indent 2 Char"/>
    <w:basedOn w:val="DefaultParagraphFont"/>
    <w:link w:val="BodyTextIndent2"/>
    <w:uiPriority w:val="99"/>
    <w:semiHidden/>
    <w:rsid w:val="00B632CF"/>
    <w:rPr>
      <w:rFonts w:ascii="Jacobs Chronos" w:hAnsi="Jacobs Chronos" w:cs="Jacobs Chronos"/>
      <w:sz w:val="20"/>
    </w:rPr>
  </w:style>
  <w:style w:type="paragraph" w:styleId="BodyTextIndent3">
    <w:name w:val="Body Text Indent 3"/>
    <w:basedOn w:val="Normal"/>
    <w:link w:val="BodyTextIndent3Char"/>
    <w:uiPriority w:val="99"/>
    <w:semiHidden/>
    <w:unhideWhenUsed/>
    <w:rsid w:val="00B632C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632CF"/>
    <w:rPr>
      <w:rFonts w:ascii="Jacobs Chronos" w:hAnsi="Jacobs Chronos" w:cs="Jacobs Chronos"/>
      <w:sz w:val="16"/>
      <w:szCs w:val="16"/>
    </w:rPr>
  </w:style>
  <w:style w:type="character" w:styleId="BookTitle">
    <w:name w:val="Book Title"/>
    <w:basedOn w:val="DefaultParagraphFont"/>
    <w:uiPriority w:val="33"/>
    <w:semiHidden/>
    <w:rsid w:val="00B632CF"/>
    <w:rPr>
      <w:b/>
      <w:bCs/>
      <w:i/>
      <w:iCs/>
      <w:spacing w:val="5"/>
    </w:rPr>
  </w:style>
  <w:style w:type="paragraph" w:styleId="Closing">
    <w:name w:val="Closing"/>
    <w:basedOn w:val="Normal"/>
    <w:link w:val="ClosingChar"/>
    <w:uiPriority w:val="99"/>
    <w:semiHidden/>
    <w:unhideWhenUsed/>
    <w:rsid w:val="00B632CF"/>
    <w:pPr>
      <w:spacing w:after="0" w:line="240" w:lineRule="auto"/>
      <w:ind w:left="4252"/>
    </w:pPr>
  </w:style>
  <w:style w:type="character" w:customStyle="1" w:styleId="ClosingChar">
    <w:name w:val="Closing Char"/>
    <w:basedOn w:val="DefaultParagraphFont"/>
    <w:link w:val="Closing"/>
    <w:uiPriority w:val="99"/>
    <w:semiHidden/>
    <w:rsid w:val="00B632CF"/>
    <w:rPr>
      <w:rFonts w:ascii="Jacobs Chronos" w:hAnsi="Jacobs Chronos" w:cs="Jacobs Chronos"/>
      <w:sz w:val="20"/>
    </w:rPr>
  </w:style>
  <w:style w:type="table" w:styleId="ColorfulGrid">
    <w:name w:val="Colorful Grid"/>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D0CDFA" w:themeFill="accent1" w:themeFillTint="33"/>
    </w:tcPr>
    <w:tblStylePr w:type="firstRow">
      <w:rPr>
        <w:b/>
        <w:bCs/>
      </w:rPr>
      <w:tblPr/>
      <w:tcPr>
        <w:shd w:val="clear" w:color="auto" w:fill="A29CF6" w:themeFill="accent1" w:themeFillTint="66"/>
      </w:tcPr>
    </w:tblStylePr>
    <w:tblStylePr w:type="lastRow">
      <w:rPr>
        <w:b/>
        <w:bCs/>
        <w:color w:val="000000" w:themeColor="text1"/>
      </w:rPr>
      <w:tblPr/>
      <w:tcPr>
        <w:shd w:val="clear" w:color="auto" w:fill="A29CF6" w:themeFill="accent1" w:themeFillTint="66"/>
      </w:tcPr>
    </w:tblStylePr>
    <w:tblStylePr w:type="firstCol">
      <w:rPr>
        <w:color w:val="FFFFFF" w:themeColor="background1"/>
      </w:rPr>
      <w:tblPr/>
      <w:tcPr>
        <w:shd w:val="clear" w:color="auto" w:fill="1A0FA4" w:themeFill="accent1" w:themeFillShade="BF"/>
      </w:tcPr>
    </w:tblStylePr>
    <w:tblStylePr w:type="lastCol">
      <w:rPr>
        <w:color w:val="FFFFFF" w:themeColor="background1"/>
      </w:rPr>
      <w:tblPr/>
      <w:tcPr>
        <w:shd w:val="clear" w:color="auto" w:fill="1A0FA4" w:themeFill="accent1" w:themeFillShade="BF"/>
      </w:tcPr>
    </w:tblStylePr>
    <w:tblStylePr w:type="band1Vert">
      <w:tblPr/>
      <w:tcPr>
        <w:shd w:val="clear" w:color="auto" w:fill="8B83F3" w:themeFill="accent1" w:themeFillTint="7F"/>
      </w:tcPr>
    </w:tblStylePr>
    <w:tblStylePr w:type="band1Horz">
      <w:tblPr/>
      <w:tcPr>
        <w:shd w:val="clear" w:color="auto" w:fill="8B83F3" w:themeFill="accent1" w:themeFillTint="7F"/>
      </w:tcPr>
    </w:tblStylePr>
  </w:style>
  <w:style w:type="table" w:styleId="ColorfulGrid-Accent2">
    <w:name w:val="Colorful Grid Accent 2"/>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FFAFFE" w:themeFill="accent2" w:themeFillTint="33"/>
    </w:tcPr>
    <w:tblStylePr w:type="firstRow">
      <w:rPr>
        <w:b/>
        <w:bCs/>
      </w:rPr>
      <w:tblPr/>
      <w:tcPr>
        <w:shd w:val="clear" w:color="auto" w:fill="FF5FFD" w:themeFill="accent2" w:themeFillTint="66"/>
      </w:tcPr>
    </w:tblStylePr>
    <w:tblStylePr w:type="lastRow">
      <w:rPr>
        <w:b/>
        <w:bCs/>
        <w:color w:val="000000" w:themeColor="text1"/>
      </w:rPr>
      <w:tblPr/>
      <w:tcPr>
        <w:shd w:val="clear" w:color="auto" w:fill="FF5FFD" w:themeFill="accent2" w:themeFillTint="66"/>
      </w:tcPr>
    </w:tblStylePr>
    <w:tblStylePr w:type="firstCol">
      <w:rPr>
        <w:color w:val="FFFFFF" w:themeColor="background1"/>
      </w:rPr>
      <w:tblPr/>
      <w:tcPr>
        <w:shd w:val="clear" w:color="auto" w:fill="530052" w:themeFill="accent2" w:themeFillShade="BF"/>
      </w:tcPr>
    </w:tblStylePr>
    <w:tblStylePr w:type="lastCol">
      <w:rPr>
        <w:color w:val="FFFFFF" w:themeColor="background1"/>
      </w:rPr>
      <w:tblPr/>
      <w:tcPr>
        <w:shd w:val="clear" w:color="auto" w:fill="530052" w:themeFill="accent2" w:themeFillShade="BF"/>
      </w:tcPr>
    </w:tblStylePr>
    <w:tblStylePr w:type="band1Vert">
      <w:tblPr/>
      <w:tcPr>
        <w:shd w:val="clear" w:color="auto" w:fill="FF38FC" w:themeFill="accent2" w:themeFillTint="7F"/>
      </w:tcPr>
    </w:tblStylePr>
    <w:tblStylePr w:type="band1Horz">
      <w:tblPr/>
      <w:tcPr>
        <w:shd w:val="clear" w:color="auto" w:fill="FF38FC" w:themeFill="accent2" w:themeFillTint="7F"/>
      </w:tcPr>
    </w:tblStylePr>
  </w:style>
  <w:style w:type="table" w:styleId="ColorfulGrid-Accent3">
    <w:name w:val="Colorful Grid Accent 3"/>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F7D4DB" w:themeFill="accent3" w:themeFillTint="33"/>
    </w:tcPr>
    <w:tblStylePr w:type="firstRow">
      <w:rPr>
        <w:b/>
        <w:bCs/>
      </w:rPr>
      <w:tblPr/>
      <w:tcPr>
        <w:shd w:val="clear" w:color="auto" w:fill="EFA9B8" w:themeFill="accent3" w:themeFillTint="66"/>
      </w:tcPr>
    </w:tblStylePr>
    <w:tblStylePr w:type="lastRow">
      <w:rPr>
        <w:b/>
        <w:bCs/>
        <w:color w:val="000000" w:themeColor="text1"/>
      </w:rPr>
      <w:tblPr/>
      <w:tcPr>
        <w:shd w:val="clear" w:color="auto" w:fill="EFA9B8" w:themeFill="accent3" w:themeFillTint="66"/>
      </w:tcPr>
    </w:tblStylePr>
    <w:tblStylePr w:type="firstCol">
      <w:rPr>
        <w:color w:val="FFFFFF" w:themeColor="background1"/>
      </w:rPr>
      <w:tblPr/>
      <w:tcPr>
        <w:shd w:val="clear" w:color="auto" w:fill="A11E3B" w:themeFill="accent3" w:themeFillShade="BF"/>
      </w:tcPr>
    </w:tblStylePr>
    <w:tblStylePr w:type="lastCol">
      <w:rPr>
        <w:color w:val="FFFFFF" w:themeColor="background1"/>
      </w:rPr>
      <w:tblPr/>
      <w:tcPr>
        <w:shd w:val="clear" w:color="auto" w:fill="A11E3B" w:themeFill="accent3" w:themeFillShade="BF"/>
      </w:tcPr>
    </w:tblStylePr>
    <w:tblStylePr w:type="band1Vert">
      <w:tblPr/>
      <w:tcPr>
        <w:shd w:val="clear" w:color="auto" w:fill="EB93A7" w:themeFill="accent3" w:themeFillTint="7F"/>
      </w:tcPr>
    </w:tblStylePr>
    <w:tblStylePr w:type="band1Horz">
      <w:tblPr/>
      <w:tcPr>
        <w:shd w:val="clear" w:color="auto" w:fill="EB93A7" w:themeFill="accent3" w:themeFillTint="7F"/>
      </w:tcPr>
    </w:tblStylePr>
  </w:style>
  <w:style w:type="table" w:styleId="ColorfulGrid-Accent4">
    <w:name w:val="Colorful Grid Accent 4"/>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FFEBD0" w:themeFill="accent4" w:themeFillTint="33"/>
    </w:tcPr>
    <w:tblStylePr w:type="firstRow">
      <w:rPr>
        <w:b/>
        <w:bCs/>
      </w:rPr>
      <w:tblPr/>
      <w:tcPr>
        <w:shd w:val="clear" w:color="auto" w:fill="FFD8A1" w:themeFill="accent4" w:themeFillTint="66"/>
      </w:tcPr>
    </w:tblStylePr>
    <w:tblStylePr w:type="lastRow">
      <w:rPr>
        <w:b/>
        <w:bCs/>
        <w:color w:val="000000" w:themeColor="text1"/>
      </w:rPr>
      <w:tblPr/>
      <w:tcPr>
        <w:shd w:val="clear" w:color="auto" w:fill="FFD8A1" w:themeFill="accent4" w:themeFillTint="66"/>
      </w:tcPr>
    </w:tblStylePr>
    <w:tblStylePr w:type="firstCol">
      <w:rPr>
        <w:color w:val="FFFFFF" w:themeColor="background1"/>
      </w:rPr>
      <w:tblPr/>
      <w:tcPr>
        <w:shd w:val="clear" w:color="auto" w:fill="CD7900" w:themeFill="accent4" w:themeFillShade="BF"/>
      </w:tcPr>
    </w:tblStylePr>
    <w:tblStylePr w:type="lastCol">
      <w:rPr>
        <w:color w:val="FFFFFF" w:themeColor="background1"/>
      </w:rPr>
      <w:tblPr/>
      <w:tcPr>
        <w:shd w:val="clear" w:color="auto" w:fill="CD7900" w:themeFill="accent4" w:themeFillShade="BF"/>
      </w:tcPr>
    </w:tblStylePr>
    <w:tblStylePr w:type="band1Vert">
      <w:tblPr/>
      <w:tcPr>
        <w:shd w:val="clear" w:color="auto" w:fill="FFCF89" w:themeFill="accent4" w:themeFillTint="7F"/>
      </w:tcPr>
    </w:tblStylePr>
    <w:tblStylePr w:type="band1Horz">
      <w:tblPr/>
      <w:tcPr>
        <w:shd w:val="clear" w:color="auto" w:fill="FFCF89" w:themeFill="accent4" w:themeFillTint="7F"/>
      </w:tcPr>
    </w:tblStylePr>
  </w:style>
  <w:style w:type="table" w:styleId="ColorfulGrid-Accent5">
    <w:name w:val="Colorful Grid Accent 5"/>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B2FFE6" w:themeFill="accent5" w:themeFillTint="33"/>
    </w:tcPr>
    <w:tblStylePr w:type="firstRow">
      <w:rPr>
        <w:b/>
        <w:bCs/>
      </w:rPr>
      <w:tblPr/>
      <w:tcPr>
        <w:shd w:val="clear" w:color="auto" w:fill="65FFCD" w:themeFill="accent5" w:themeFillTint="66"/>
      </w:tcPr>
    </w:tblStylePr>
    <w:tblStylePr w:type="lastRow">
      <w:rPr>
        <w:b/>
        <w:bCs/>
        <w:color w:val="000000" w:themeColor="text1"/>
      </w:rPr>
      <w:tblPr/>
      <w:tcPr>
        <w:shd w:val="clear" w:color="auto" w:fill="65FFCD" w:themeFill="accent5" w:themeFillTint="66"/>
      </w:tcPr>
    </w:tblStylePr>
    <w:tblStylePr w:type="firstCol">
      <w:rPr>
        <w:color w:val="FFFFFF" w:themeColor="background1"/>
      </w:rPr>
      <w:tblPr/>
      <w:tcPr>
        <w:shd w:val="clear" w:color="auto" w:fill="005D3F" w:themeFill="accent5" w:themeFillShade="BF"/>
      </w:tcPr>
    </w:tblStylePr>
    <w:tblStylePr w:type="lastCol">
      <w:rPr>
        <w:color w:val="FFFFFF" w:themeColor="background1"/>
      </w:rPr>
      <w:tblPr/>
      <w:tcPr>
        <w:shd w:val="clear" w:color="auto" w:fill="005D3F" w:themeFill="accent5" w:themeFillShade="BF"/>
      </w:tcPr>
    </w:tblStylePr>
    <w:tblStylePr w:type="band1Vert">
      <w:tblPr/>
      <w:tcPr>
        <w:shd w:val="clear" w:color="auto" w:fill="3FFFC1" w:themeFill="accent5" w:themeFillTint="7F"/>
      </w:tcPr>
    </w:tblStylePr>
    <w:tblStylePr w:type="band1Horz">
      <w:tblPr/>
      <w:tcPr>
        <w:shd w:val="clear" w:color="auto" w:fill="3FFFC1" w:themeFill="accent5" w:themeFillTint="7F"/>
      </w:tcPr>
    </w:tblStylePr>
  </w:style>
  <w:style w:type="table" w:styleId="ColorfulGrid-Accent6">
    <w:name w:val="Colorful Grid Accent 6"/>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rsid w:val="00B632C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80057" w:themeFill="accent2" w:themeFillShade="CC"/>
      </w:tcPr>
    </w:tblStylePr>
    <w:tblStylePr w:type="lastRow">
      <w:rPr>
        <w:b/>
        <w:bCs/>
        <w:color w:val="5800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632CF"/>
    <w:rPr>
      <w:color w:val="000000" w:themeColor="text1"/>
    </w:rPr>
    <w:tblPr>
      <w:tblStyleRowBandSize w:val="1"/>
      <w:tblStyleColBandSize w:val="1"/>
    </w:tblPr>
    <w:tcPr>
      <w:shd w:val="clear" w:color="auto" w:fill="E8E6FC" w:themeFill="accent1" w:themeFillTint="19"/>
    </w:tcPr>
    <w:tblStylePr w:type="firstRow">
      <w:rPr>
        <w:b/>
        <w:bCs/>
        <w:color w:val="FFFFFF" w:themeColor="background1"/>
      </w:rPr>
      <w:tblPr/>
      <w:tcPr>
        <w:tcBorders>
          <w:bottom w:val="single" w:sz="12" w:space="0" w:color="FFFFFF" w:themeColor="background1"/>
        </w:tcBorders>
        <w:shd w:val="clear" w:color="auto" w:fill="580057" w:themeFill="accent2" w:themeFillShade="CC"/>
      </w:tcPr>
    </w:tblStylePr>
    <w:tblStylePr w:type="lastRow">
      <w:rPr>
        <w:b/>
        <w:bCs/>
        <w:color w:val="5800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C1F9" w:themeFill="accent1" w:themeFillTint="3F"/>
      </w:tcPr>
    </w:tblStylePr>
    <w:tblStylePr w:type="band1Horz">
      <w:tblPr/>
      <w:tcPr>
        <w:shd w:val="clear" w:color="auto" w:fill="D0CDFA" w:themeFill="accent1" w:themeFillTint="33"/>
      </w:tcPr>
    </w:tblStylePr>
  </w:style>
  <w:style w:type="table" w:styleId="ColorfulList-Accent2">
    <w:name w:val="Colorful List Accent 2"/>
    <w:basedOn w:val="TableNormal"/>
    <w:uiPriority w:val="72"/>
    <w:semiHidden/>
    <w:unhideWhenUsed/>
    <w:rsid w:val="00B632CF"/>
    <w:rPr>
      <w:color w:val="000000" w:themeColor="text1"/>
    </w:rPr>
    <w:tblPr>
      <w:tblStyleRowBandSize w:val="1"/>
      <w:tblStyleColBandSize w:val="1"/>
    </w:tblPr>
    <w:tcPr>
      <w:shd w:val="clear" w:color="auto" w:fill="FFD7FE" w:themeFill="accent2" w:themeFillTint="19"/>
    </w:tcPr>
    <w:tblStylePr w:type="firstRow">
      <w:rPr>
        <w:b/>
        <w:bCs/>
        <w:color w:val="FFFFFF" w:themeColor="background1"/>
      </w:rPr>
      <w:tblPr/>
      <w:tcPr>
        <w:tcBorders>
          <w:bottom w:val="single" w:sz="12" w:space="0" w:color="FFFFFF" w:themeColor="background1"/>
        </w:tcBorders>
        <w:shd w:val="clear" w:color="auto" w:fill="580057" w:themeFill="accent2" w:themeFillShade="CC"/>
      </w:tcPr>
    </w:tblStylePr>
    <w:tblStylePr w:type="lastRow">
      <w:rPr>
        <w:b/>
        <w:bCs/>
        <w:color w:val="5800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9CFD" w:themeFill="accent2" w:themeFillTint="3F"/>
      </w:tcPr>
    </w:tblStylePr>
    <w:tblStylePr w:type="band1Horz">
      <w:tblPr/>
      <w:tcPr>
        <w:shd w:val="clear" w:color="auto" w:fill="FFAFFE" w:themeFill="accent2" w:themeFillTint="33"/>
      </w:tcPr>
    </w:tblStylePr>
  </w:style>
  <w:style w:type="table" w:styleId="ColorfulList-Accent3">
    <w:name w:val="Colorful List Accent 3"/>
    <w:basedOn w:val="TableNormal"/>
    <w:uiPriority w:val="72"/>
    <w:semiHidden/>
    <w:unhideWhenUsed/>
    <w:rsid w:val="00B632CF"/>
    <w:rPr>
      <w:color w:val="000000" w:themeColor="text1"/>
    </w:rPr>
    <w:tblPr>
      <w:tblStyleRowBandSize w:val="1"/>
      <w:tblStyleColBandSize w:val="1"/>
    </w:tblPr>
    <w:tcPr>
      <w:shd w:val="clear" w:color="auto" w:fill="FBE9ED" w:themeFill="accent3" w:themeFillTint="19"/>
    </w:tcPr>
    <w:tblStylePr w:type="firstRow">
      <w:rPr>
        <w:b/>
        <w:bCs/>
        <w:color w:val="FFFFFF" w:themeColor="background1"/>
      </w:rPr>
      <w:tblPr/>
      <w:tcPr>
        <w:tcBorders>
          <w:bottom w:val="single" w:sz="12" w:space="0" w:color="FFFFFF" w:themeColor="background1"/>
        </w:tcBorders>
        <w:shd w:val="clear" w:color="auto" w:fill="DC8200" w:themeFill="accent4" w:themeFillShade="CC"/>
      </w:tcPr>
    </w:tblStylePr>
    <w:tblStylePr w:type="lastRow">
      <w:rPr>
        <w:b/>
        <w:bCs/>
        <w:color w:val="DC82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9D3" w:themeFill="accent3" w:themeFillTint="3F"/>
      </w:tcPr>
    </w:tblStylePr>
    <w:tblStylePr w:type="band1Horz">
      <w:tblPr/>
      <w:tcPr>
        <w:shd w:val="clear" w:color="auto" w:fill="F7D4DB" w:themeFill="accent3" w:themeFillTint="33"/>
      </w:tcPr>
    </w:tblStylePr>
  </w:style>
  <w:style w:type="table" w:styleId="ColorfulList-Accent4">
    <w:name w:val="Colorful List Accent 4"/>
    <w:basedOn w:val="TableNormal"/>
    <w:uiPriority w:val="72"/>
    <w:semiHidden/>
    <w:unhideWhenUsed/>
    <w:rsid w:val="00B632CF"/>
    <w:rPr>
      <w:color w:val="000000" w:themeColor="text1"/>
    </w:rPr>
    <w:tblPr>
      <w:tblStyleRowBandSize w:val="1"/>
      <w:tblStyleColBandSize w:val="1"/>
    </w:tblPr>
    <w:tcPr>
      <w:shd w:val="clear" w:color="auto" w:fill="FFF5E7" w:themeFill="accent4" w:themeFillTint="19"/>
    </w:tcPr>
    <w:tblStylePr w:type="firstRow">
      <w:rPr>
        <w:b/>
        <w:bCs/>
        <w:color w:val="FFFFFF" w:themeColor="background1"/>
      </w:rPr>
      <w:tblPr/>
      <w:tcPr>
        <w:tcBorders>
          <w:bottom w:val="single" w:sz="12" w:space="0" w:color="FFFFFF" w:themeColor="background1"/>
        </w:tcBorders>
        <w:shd w:val="clear" w:color="auto" w:fill="AC203F" w:themeFill="accent3" w:themeFillShade="CC"/>
      </w:tcPr>
    </w:tblStylePr>
    <w:tblStylePr w:type="lastRow">
      <w:rPr>
        <w:b/>
        <w:bCs/>
        <w:color w:val="AC20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7C4" w:themeFill="accent4" w:themeFillTint="3F"/>
      </w:tcPr>
    </w:tblStylePr>
    <w:tblStylePr w:type="band1Horz">
      <w:tblPr/>
      <w:tcPr>
        <w:shd w:val="clear" w:color="auto" w:fill="FFEBD0" w:themeFill="accent4" w:themeFillTint="33"/>
      </w:tcPr>
    </w:tblStylePr>
  </w:style>
  <w:style w:type="table" w:styleId="ColorfulList-Accent5">
    <w:name w:val="Colorful List Accent 5"/>
    <w:basedOn w:val="TableNormal"/>
    <w:uiPriority w:val="72"/>
    <w:semiHidden/>
    <w:unhideWhenUsed/>
    <w:rsid w:val="00B632CF"/>
    <w:rPr>
      <w:color w:val="000000" w:themeColor="text1"/>
    </w:rPr>
    <w:tblPr>
      <w:tblStyleRowBandSize w:val="1"/>
      <w:tblStyleColBandSize w:val="1"/>
    </w:tblPr>
    <w:tcPr>
      <w:shd w:val="clear" w:color="auto" w:fill="D9FFF2"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FE0" w:themeFill="accent5" w:themeFillTint="3F"/>
      </w:tcPr>
    </w:tblStylePr>
    <w:tblStylePr w:type="band1Horz">
      <w:tblPr/>
      <w:tcPr>
        <w:shd w:val="clear" w:color="auto" w:fill="B2FFE6" w:themeFill="accent5" w:themeFillTint="33"/>
      </w:tcPr>
    </w:tblStylePr>
  </w:style>
  <w:style w:type="table" w:styleId="ColorfulList-Accent6">
    <w:name w:val="Colorful List Accent 6"/>
    <w:basedOn w:val="TableNormal"/>
    <w:uiPriority w:val="72"/>
    <w:semiHidden/>
    <w:unhideWhenUsed/>
    <w:rsid w:val="00B632CF"/>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006443" w:themeFill="accent5" w:themeFillShade="CC"/>
      </w:tcPr>
    </w:tblStylePr>
    <w:tblStylePr w:type="lastRow">
      <w:rPr>
        <w:b/>
        <w:bCs/>
        <w:color w:val="00644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rsid w:val="00B632CF"/>
    <w:rPr>
      <w:color w:val="000000" w:themeColor="text1"/>
    </w:rPr>
    <w:tblPr>
      <w:tblStyleRowBandSize w:val="1"/>
      <w:tblStyleColBandSize w:val="1"/>
      <w:tblBorders>
        <w:top w:val="single" w:sz="24" w:space="0" w:color="6F006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632CF"/>
    <w:rPr>
      <w:color w:val="000000" w:themeColor="text1"/>
    </w:rPr>
    <w:tblPr>
      <w:tblStyleRowBandSize w:val="1"/>
      <w:tblStyleColBandSize w:val="1"/>
      <w:tblBorders>
        <w:top w:val="single" w:sz="24" w:space="0" w:color="6F006E" w:themeColor="accent2"/>
        <w:left w:val="single" w:sz="4" w:space="0" w:color="2314DC" w:themeColor="accent1"/>
        <w:bottom w:val="single" w:sz="4" w:space="0" w:color="2314DC" w:themeColor="accent1"/>
        <w:right w:val="single" w:sz="4" w:space="0" w:color="2314DC" w:themeColor="accent1"/>
        <w:insideH w:val="single" w:sz="4" w:space="0" w:color="FFFFFF" w:themeColor="background1"/>
        <w:insideV w:val="single" w:sz="4" w:space="0" w:color="FFFFFF" w:themeColor="background1"/>
      </w:tblBorders>
    </w:tblPr>
    <w:tcPr>
      <w:shd w:val="clear" w:color="auto" w:fill="E8E6FC" w:themeFill="accent1" w:themeFillTint="19"/>
    </w:tcPr>
    <w:tblStylePr w:type="firstRow">
      <w:rPr>
        <w:b/>
        <w:bCs/>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0C84" w:themeFill="accent1" w:themeFillShade="99"/>
      </w:tcPr>
    </w:tblStylePr>
    <w:tblStylePr w:type="firstCol">
      <w:rPr>
        <w:color w:val="FFFFFF" w:themeColor="background1"/>
      </w:rPr>
      <w:tblPr/>
      <w:tcPr>
        <w:tcBorders>
          <w:top w:val="nil"/>
          <w:left w:val="nil"/>
          <w:bottom w:val="nil"/>
          <w:right w:val="nil"/>
          <w:insideH w:val="single" w:sz="4" w:space="0" w:color="140C84" w:themeColor="accent1" w:themeShade="99"/>
          <w:insideV w:val="nil"/>
        </w:tcBorders>
        <w:shd w:val="clear" w:color="auto" w:fill="140C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0C84" w:themeFill="accent1" w:themeFillShade="99"/>
      </w:tcPr>
    </w:tblStylePr>
    <w:tblStylePr w:type="band1Vert">
      <w:tblPr/>
      <w:tcPr>
        <w:shd w:val="clear" w:color="auto" w:fill="A29CF6" w:themeFill="accent1" w:themeFillTint="66"/>
      </w:tcPr>
    </w:tblStylePr>
    <w:tblStylePr w:type="band1Horz">
      <w:tblPr/>
      <w:tcPr>
        <w:shd w:val="clear" w:color="auto" w:fill="8B83F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632CF"/>
    <w:rPr>
      <w:color w:val="000000" w:themeColor="text1"/>
    </w:rPr>
    <w:tblPr>
      <w:tblStyleRowBandSize w:val="1"/>
      <w:tblStyleColBandSize w:val="1"/>
      <w:tblBorders>
        <w:top w:val="single" w:sz="24" w:space="0" w:color="6F006E" w:themeColor="accent2"/>
        <w:left w:val="single" w:sz="4" w:space="0" w:color="6F006E" w:themeColor="accent2"/>
        <w:bottom w:val="single" w:sz="4" w:space="0" w:color="6F006E" w:themeColor="accent2"/>
        <w:right w:val="single" w:sz="4" w:space="0" w:color="6F006E" w:themeColor="accent2"/>
        <w:insideH w:val="single" w:sz="4" w:space="0" w:color="FFFFFF" w:themeColor="background1"/>
        <w:insideV w:val="single" w:sz="4" w:space="0" w:color="FFFFFF" w:themeColor="background1"/>
      </w:tblBorders>
    </w:tblPr>
    <w:tcPr>
      <w:shd w:val="clear" w:color="auto" w:fill="FFD7FE" w:themeFill="accent2" w:themeFillTint="19"/>
    </w:tcPr>
    <w:tblStylePr w:type="firstRow">
      <w:rPr>
        <w:b/>
        <w:bCs/>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0041" w:themeFill="accent2" w:themeFillShade="99"/>
      </w:tcPr>
    </w:tblStylePr>
    <w:tblStylePr w:type="firstCol">
      <w:rPr>
        <w:color w:val="FFFFFF" w:themeColor="background1"/>
      </w:rPr>
      <w:tblPr/>
      <w:tcPr>
        <w:tcBorders>
          <w:top w:val="nil"/>
          <w:left w:val="nil"/>
          <w:bottom w:val="nil"/>
          <w:right w:val="nil"/>
          <w:insideH w:val="single" w:sz="4" w:space="0" w:color="420041" w:themeColor="accent2" w:themeShade="99"/>
          <w:insideV w:val="nil"/>
        </w:tcBorders>
        <w:shd w:val="clear" w:color="auto" w:fill="42004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20041" w:themeFill="accent2" w:themeFillShade="99"/>
      </w:tcPr>
    </w:tblStylePr>
    <w:tblStylePr w:type="band1Vert">
      <w:tblPr/>
      <w:tcPr>
        <w:shd w:val="clear" w:color="auto" w:fill="FF5FFD" w:themeFill="accent2" w:themeFillTint="66"/>
      </w:tcPr>
    </w:tblStylePr>
    <w:tblStylePr w:type="band1Horz">
      <w:tblPr/>
      <w:tcPr>
        <w:shd w:val="clear" w:color="auto" w:fill="FF38F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632CF"/>
    <w:rPr>
      <w:color w:val="000000" w:themeColor="text1"/>
    </w:rPr>
    <w:tblPr>
      <w:tblStyleRowBandSize w:val="1"/>
      <w:tblStyleColBandSize w:val="1"/>
      <w:tblBorders>
        <w:top w:val="single" w:sz="24" w:space="0" w:color="FFA014" w:themeColor="accent4"/>
        <w:left w:val="single" w:sz="4" w:space="0" w:color="D72850" w:themeColor="accent3"/>
        <w:bottom w:val="single" w:sz="4" w:space="0" w:color="D72850" w:themeColor="accent3"/>
        <w:right w:val="single" w:sz="4" w:space="0" w:color="D72850" w:themeColor="accent3"/>
        <w:insideH w:val="single" w:sz="4" w:space="0" w:color="FFFFFF" w:themeColor="background1"/>
        <w:insideV w:val="single" w:sz="4" w:space="0" w:color="FFFFFF" w:themeColor="background1"/>
      </w:tblBorders>
    </w:tblPr>
    <w:tcPr>
      <w:shd w:val="clear" w:color="auto" w:fill="FBE9ED" w:themeFill="accent3" w:themeFillTint="19"/>
    </w:tcPr>
    <w:tblStylePr w:type="firstRow">
      <w:rPr>
        <w:b/>
        <w:bCs/>
      </w:rPr>
      <w:tblPr/>
      <w:tcPr>
        <w:tcBorders>
          <w:top w:val="nil"/>
          <w:left w:val="nil"/>
          <w:bottom w:val="single" w:sz="24" w:space="0" w:color="FFA0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182F" w:themeFill="accent3" w:themeFillShade="99"/>
      </w:tcPr>
    </w:tblStylePr>
    <w:tblStylePr w:type="firstCol">
      <w:rPr>
        <w:color w:val="FFFFFF" w:themeColor="background1"/>
      </w:rPr>
      <w:tblPr/>
      <w:tcPr>
        <w:tcBorders>
          <w:top w:val="nil"/>
          <w:left w:val="nil"/>
          <w:bottom w:val="nil"/>
          <w:right w:val="nil"/>
          <w:insideH w:val="single" w:sz="4" w:space="0" w:color="81182F" w:themeColor="accent3" w:themeShade="99"/>
          <w:insideV w:val="nil"/>
        </w:tcBorders>
        <w:shd w:val="clear" w:color="auto" w:fill="8118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1182F" w:themeFill="accent3" w:themeFillShade="99"/>
      </w:tcPr>
    </w:tblStylePr>
    <w:tblStylePr w:type="band1Vert">
      <w:tblPr/>
      <w:tcPr>
        <w:shd w:val="clear" w:color="auto" w:fill="EFA9B8" w:themeFill="accent3" w:themeFillTint="66"/>
      </w:tcPr>
    </w:tblStylePr>
    <w:tblStylePr w:type="band1Horz">
      <w:tblPr/>
      <w:tcPr>
        <w:shd w:val="clear" w:color="auto" w:fill="EB93A7" w:themeFill="accent3" w:themeFillTint="7F"/>
      </w:tcPr>
    </w:tblStylePr>
  </w:style>
  <w:style w:type="table" w:styleId="ColorfulShading-Accent4">
    <w:name w:val="Colorful Shading Accent 4"/>
    <w:basedOn w:val="TableNormal"/>
    <w:uiPriority w:val="71"/>
    <w:semiHidden/>
    <w:unhideWhenUsed/>
    <w:rsid w:val="00B632CF"/>
    <w:rPr>
      <w:color w:val="000000" w:themeColor="text1"/>
    </w:rPr>
    <w:tblPr>
      <w:tblStyleRowBandSize w:val="1"/>
      <w:tblStyleColBandSize w:val="1"/>
      <w:tblBorders>
        <w:top w:val="single" w:sz="24" w:space="0" w:color="D72850" w:themeColor="accent3"/>
        <w:left w:val="single" w:sz="4" w:space="0" w:color="FFA014" w:themeColor="accent4"/>
        <w:bottom w:val="single" w:sz="4" w:space="0" w:color="FFA014" w:themeColor="accent4"/>
        <w:right w:val="single" w:sz="4" w:space="0" w:color="FFA014" w:themeColor="accent4"/>
        <w:insideH w:val="single" w:sz="4" w:space="0" w:color="FFFFFF" w:themeColor="background1"/>
        <w:insideV w:val="single" w:sz="4" w:space="0" w:color="FFFFFF" w:themeColor="background1"/>
      </w:tblBorders>
    </w:tblPr>
    <w:tcPr>
      <w:shd w:val="clear" w:color="auto" w:fill="FFF5E7" w:themeFill="accent4" w:themeFillTint="19"/>
    </w:tcPr>
    <w:tblStylePr w:type="firstRow">
      <w:rPr>
        <w:b/>
        <w:bCs/>
      </w:rPr>
      <w:tblPr/>
      <w:tcPr>
        <w:tcBorders>
          <w:top w:val="nil"/>
          <w:left w:val="nil"/>
          <w:bottom w:val="single" w:sz="24" w:space="0" w:color="D728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56100" w:themeFill="accent4" w:themeFillShade="99"/>
      </w:tcPr>
    </w:tblStylePr>
    <w:tblStylePr w:type="firstCol">
      <w:rPr>
        <w:color w:val="FFFFFF" w:themeColor="background1"/>
      </w:rPr>
      <w:tblPr/>
      <w:tcPr>
        <w:tcBorders>
          <w:top w:val="nil"/>
          <w:left w:val="nil"/>
          <w:bottom w:val="nil"/>
          <w:right w:val="nil"/>
          <w:insideH w:val="single" w:sz="4" w:space="0" w:color="A56100" w:themeColor="accent4" w:themeShade="99"/>
          <w:insideV w:val="nil"/>
        </w:tcBorders>
        <w:shd w:val="clear" w:color="auto" w:fill="A561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56100" w:themeFill="accent4" w:themeFillShade="99"/>
      </w:tcPr>
    </w:tblStylePr>
    <w:tblStylePr w:type="band1Vert">
      <w:tblPr/>
      <w:tcPr>
        <w:shd w:val="clear" w:color="auto" w:fill="FFD8A1" w:themeFill="accent4" w:themeFillTint="66"/>
      </w:tcPr>
    </w:tblStylePr>
    <w:tblStylePr w:type="band1Horz">
      <w:tblPr/>
      <w:tcPr>
        <w:shd w:val="clear" w:color="auto" w:fill="FFCF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632CF"/>
    <w:rPr>
      <w:color w:val="000000" w:themeColor="text1"/>
    </w:rPr>
    <w:tblPr>
      <w:tblStyleRowBandSize w:val="1"/>
      <w:tblStyleColBandSize w:val="1"/>
      <w:tblBorders>
        <w:top w:val="single" w:sz="24" w:space="0" w:color="C8C8C8" w:themeColor="accent6"/>
        <w:left w:val="single" w:sz="4" w:space="0" w:color="007D55" w:themeColor="accent5"/>
        <w:bottom w:val="single" w:sz="4" w:space="0" w:color="007D55" w:themeColor="accent5"/>
        <w:right w:val="single" w:sz="4" w:space="0" w:color="007D55" w:themeColor="accent5"/>
        <w:insideH w:val="single" w:sz="4" w:space="0" w:color="FFFFFF" w:themeColor="background1"/>
        <w:insideV w:val="single" w:sz="4" w:space="0" w:color="FFFFFF" w:themeColor="background1"/>
      </w:tblBorders>
    </w:tblPr>
    <w:tcPr>
      <w:shd w:val="clear" w:color="auto" w:fill="D9FFF2"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B32" w:themeFill="accent5" w:themeFillShade="99"/>
      </w:tcPr>
    </w:tblStylePr>
    <w:tblStylePr w:type="firstCol">
      <w:rPr>
        <w:color w:val="FFFFFF" w:themeColor="background1"/>
      </w:rPr>
      <w:tblPr/>
      <w:tcPr>
        <w:tcBorders>
          <w:top w:val="nil"/>
          <w:left w:val="nil"/>
          <w:bottom w:val="nil"/>
          <w:right w:val="nil"/>
          <w:insideH w:val="single" w:sz="4" w:space="0" w:color="004B32" w:themeColor="accent5" w:themeShade="99"/>
          <w:insideV w:val="nil"/>
        </w:tcBorders>
        <w:shd w:val="clear" w:color="auto" w:fill="004B3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B32" w:themeFill="accent5" w:themeFillShade="99"/>
      </w:tcPr>
    </w:tblStylePr>
    <w:tblStylePr w:type="band1Vert">
      <w:tblPr/>
      <w:tcPr>
        <w:shd w:val="clear" w:color="auto" w:fill="65FFCD" w:themeFill="accent5" w:themeFillTint="66"/>
      </w:tcPr>
    </w:tblStylePr>
    <w:tblStylePr w:type="band1Horz">
      <w:tblPr/>
      <w:tcPr>
        <w:shd w:val="clear" w:color="auto" w:fill="3FFF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632CF"/>
    <w:rPr>
      <w:color w:val="000000" w:themeColor="text1"/>
    </w:rPr>
    <w:tblPr>
      <w:tblStyleRowBandSize w:val="1"/>
      <w:tblStyleColBandSize w:val="1"/>
      <w:tblBorders>
        <w:top w:val="single" w:sz="24" w:space="0" w:color="007D5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007D5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B632CF"/>
    <w:rPr>
      <w:sz w:val="16"/>
      <w:szCs w:val="16"/>
    </w:rPr>
  </w:style>
  <w:style w:type="paragraph" w:styleId="CommentText">
    <w:name w:val="annotation text"/>
    <w:basedOn w:val="Normal"/>
    <w:link w:val="CommentTextChar"/>
    <w:uiPriority w:val="99"/>
    <w:semiHidden/>
    <w:unhideWhenUsed/>
    <w:rsid w:val="00B632CF"/>
    <w:pPr>
      <w:spacing w:line="240" w:lineRule="auto"/>
    </w:pPr>
    <w:rPr>
      <w:szCs w:val="20"/>
    </w:rPr>
  </w:style>
  <w:style w:type="character" w:customStyle="1" w:styleId="CommentTextChar">
    <w:name w:val="Comment Text Char"/>
    <w:basedOn w:val="DefaultParagraphFont"/>
    <w:link w:val="CommentText"/>
    <w:uiPriority w:val="99"/>
    <w:semiHidden/>
    <w:rsid w:val="00B632CF"/>
    <w:rPr>
      <w:rFonts w:ascii="Jacobs Chronos" w:hAnsi="Jacobs Chronos" w:cs="Jacobs Chronos"/>
      <w:sz w:val="20"/>
      <w:szCs w:val="20"/>
    </w:rPr>
  </w:style>
  <w:style w:type="paragraph" w:styleId="CommentSubject">
    <w:name w:val="annotation subject"/>
    <w:basedOn w:val="CommentText"/>
    <w:next w:val="CommentText"/>
    <w:link w:val="CommentSubjectChar"/>
    <w:uiPriority w:val="99"/>
    <w:semiHidden/>
    <w:unhideWhenUsed/>
    <w:rsid w:val="00B632CF"/>
    <w:rPr>
      <w:b/>
      <w:bCs/>
    </w:rPr>
  </w:style>
  <w:style w:type="character" w:customStyle="1" w:styleId="CommentSubjectChar">
    <w:name w:val="Comment Subject Char"/>
    <w:basedOn w:val="CommentTextChar"/>
    <w:link w:val="CommentSubject"/>
    <w:uiPriority w:val="99"/>
    <w:semiHidden/>
    <w:rsid w:val="00B632CF"/>
    <w:rPr>
      <w:rFonts w:ascii="Jacobs Chronos" w:hAnsi="Jacobs Chronos" w:cs="Jacobs Chronos"/>
      <w:b/>
      <w:bCs/>
      <w:sz w:val="20"/>
      <w:szCs w:val="20"/>
    </w:rPr>
  </w:style>
  <w:style w:type="table" w:styleId="DarkList">
    <w:name w:val="Dark List"/>
    <w:basedOn w:val="TableNormal"/>
    <w:uiPriority w:val="70"/>
    <w:semiHidden/>
    <w:unhideWhenUsed/>
    <w:rsid w:val="00B632C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632CF"/>
    <w:rPr>
      <w:color w:val="FFFFFF" w:themeColor="background1"/>
    </w:rPr>
    <w:tblPr>
      <w:tblStyleRowBandSize w:val="1"/>
      <w:tblStyleColBandSize w:val="1"/>
    </w:tblPr>
    <w:tcPr>
      <w:shd w:val="clear" w:color="auto" w:fill="2314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A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A0F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A0FA4" w:themeFill="accent1" w:themeFillShade="BF"/>
      </w:tcPr>
    </w:tblStylePr>
    <w:tblStylePr w:type="band1Vert">
      <w:tblPr/>
      <w:tcPr>
        <w:tcBorders>
          <w:top w:val="nil"/>
          <w:left w:val="nil"/>
          <w:bottom w:val="nil"/>
          <w:right w:val="nil"/>
          <w:insideH w:val="nil"/>
          <w:insideV w:val="nil"/>
        </w:tcBorders>
        <w:shd w:val="clear" w:color="auto" w:fill="1A0FA4" w:themeFill="accent1" w:themeFillShade="BF"/>
      </w:tcPr>
    </w:tblStylePr>
    <w:tblStylePr w:type="band1Horz">
      <w:tblPr/>
      <w:tcPr>
        <w:tcBorders>
          <w:top w:val="nil"/>
          <w:left w:val="nil"/>
          <w:bottom w:val="nil"/>
          <w:right w:val="nil"/>
          <w:insideH w:val="nil"/>
          <w:insideV w:val="nil"/>
        </w:tcBorders>
        <w:shd w:val="clear" w:color="auto" w:fill="1A0FA4" w:themeFill="accent1" w:themeFillShade="BF"/>
      </w:tcPr>
    </w:tblStylePr>
  </w:style>
  <w:style w:type="table" w:styleId="DarkList-Accent2">
    <w:name w:val="Dark List Accent 2"/>
    <w:basedOn w:val="TableNormal"/>
    <w:uiPriority w:val="70"/>
    <w:semiHidden/>
    <w:unhideWhenUsed/>
    <w:rsid w:val="00B632CF"/>
    <w:rPr>
      <w:color w:val="FFFFFF" w:themeColor="background1"/>
    </w:rPr>
    <w:tblPr>
      <w:tblStyleRowBandSize w:val="1"/>
      <w:tblStyleColBandSize w:val="1"/>
    </w:tblPr>
    <w:tcPr>
      <w:shd w:val="clear" w:color="auto" w:fill="6F006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003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3005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30052" w:themeFill="accent2" w:themeFillShade="BF"/>
      </w:tcPr>
    </w:tblStylePr>
    <w:tblStylePr w:type="band1Vert">
      <w:tblPr/>
      <w:tcPr>
        <w:tcBorders>
          <w:top w:val="nil"/>
          <w:left w:val="nil"/>
          <w:bottom w:val="nil"/>
          <w:right w:val="nil"/>
          <w:insideH w:val="nil"/>
          <w:insideV w:val="nil"/>
        </w:tcBorders>
        <w:shd w:val="clear" w:color="auto" w:fill="530052" w:themeFill="accent2" w:themeFillShade="BF"/>
      </w:tcPr>
    </w:tblStylePr>
    <w:tblStylePr w:type="band1Horz">
      <w:tblPr/>
      <w:tcPr>
        <w:tcBorders>
          <w:top w:val="nil"/>
          <w:left w:val="nil"/>
          <w:bottom w:val="nil"/>
          <w:right w:val="nil"/>
          <w:insideH w:val="nil"/>
          <w:insideV w:val="nil"/>
        </w:tcBorders>
        <w:shd w:val="clear" w:color="auto" w:fill="530052" w:themeFill="accent2" w:themeFillShade="BF"/>
      </w:tcPr>
    </w:tblStylePr>
  </w:style>
  <w:style w:type="table" w:styleId="DarkList-Accent3">
    <w:name w:val="Dark List Accent 3"/>
    <w:basedOn w:val="TableNormal"/>
    <w:uiPriority w:val="70"/>
    <w:semiHidden/>
    <w:unhideWhenUsed/>
    <w:rsid w:val="00B632CF"/>
    <w:rPr>
      <w:color w:val="FFFFFF" w:themeColor="background1"/>
    </w:rPr>
    <w:tblPr>
      <w:tblStyleRowBandSize w:val="1"/>
      <w:tblStyleColBandSize w:val="1"/>
    </w:tblPr>
    <w:tcPr>
      <w:shd w:val="clear" w:color="auto" w:fill="D728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14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11E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11E3B" w:themeFill="accent3" w:themeFillShade="BF"/>
      </w:tcPr>
    </w:tblStylePr>
    <w:tblStylePr w:type="band1Vert">
      <w:tblPr/>
      <w:tcPr>
        <w:tcBorders>
          <w:top w:val="nil"/>
          <w:left w:val="nil"/>
          <w:bottom w:val="nil"/>
          <w:right w:val="nil"/>
          <w:insideH w:val="nil"/>
          <w:insideV w:val="nil"/>
        </w:tcBorders>
        <w:shd w:val="clear" w:color="auto" w:fill="A11E3B" w:themeFill="accent3" w:themeFillShade="BF"/>
      </w:tcPr>
    </w:tblStylePr>
    <w:tblStylePr w:type="band1Horz">
      <w:tblPr/>
      <w:tcPr>
        <w:tcBorders>
          <w:top w:val="nil"/>
          <w:left w:val="nil"/>
          <w:bottom w:val="nil"/>
          <w:right w:val="nil"/>
          <w:insideH w:val="nil"/>
          <w:insideV w:val="nil"/>
        </w:tcBorders>
        <w:shd w:val="clear" w:color="auto" w:fill="A11E3B" w:themeFill="accent3" w:themeFillShade="BF"/>
      </w:tcPr>
    </w:tblStylePr>
  </w:style>
  <w:style w:type="table" w:styleId="DarkList-Accent4">
    <w:name w:val="Dark List Accent 4"/>
    <w:basedOn w:val="TableNormal"/>
    <w:uiPriority w:val="70"/>
    <w:semiHidden/>
    <w:unhideWhenUsed/>
    <w:rsid w:val="00B632CF"/>
    <w:rPr>
      <w:color w:val="FFFFFF" w:themeColor="background1"/>
    </w:rPr>
    <w:tblPr>
      <w:tblStyleRowBandSize w:val="1"/>
      <w:tblStyleColBandSize w:val="1"/>
    </w:tblPr>
    <w:tcPr>
      <w:shd w:val="clear" w:color="auto" w:fill="FFA0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850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D79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D7900" w:themeFill="accent4" w:themeFillShade="BF"/>
      </w:tcPr>
    </w:tblStylePr>
    <w:tblStylePr w:type="band1Vert">
      <w:tblPr/>
      <w:tcPr>
        <w:tcBorders>
          <w:top w:val="nil"/>
          <w:left w:val="nil"/>
          <w:bottom w:val="nil"/>
          <w:right w:val="nil"/>
          <w:insideH w:val="nil"/>
          <w:insideV w:val="nil"/>
        </w:tcBorders>
        <w:shd w:val="clear" w:color="auto" w:fill="CD7900" w:themeFill="accent4" w:themeFillShade="BF"/>
      </w:tcPr>
    </w:tblStylePr>
    <w:tblStylePr w:type="band1Horz">
      <w:tblPr/>
      <w:tcPr>
        <w:tcBorders>
          <w:top w:val="nil"/>
          <w:left w:val="nil"/>
          <w:bottom w:val="nil"/>
          <w:right w:val="nil"/>
          <w:insideH w:val="nil"/>
          <w:insideV w:val="nil"/>
        </w:tcBorders>
        <w:shd w:val="clear" w:color="auto" w:fill="CD7900" w:themeFill="accent4" w:themeFillShade="BF"/>
      </w:tcPr>
    </w:tblStylePr>
  </w:style>
  <w:style w:type="table" w:styleId="DarkList-Accent5">
    <w:name w:val="Dark List Accent 5"/>
    <w:basedOn w:val="TableNormal"/>
    <w:uiPriority w:val="70"/>
    <w:semiHidden/>
    <w:unhideWhenUsed/>
    <w:rsid w:val="00B632CF"/>
    <w:rPr>
      <w:color w:val="FFFFFF" w:themeColor="background1"/>
    </w:rPr>
    <w:tblPr>
      <w:tblStyleRowBandSize w:val="1"/>
      <w:tblStyleColBandSize w:val="1"/>
    </w:tblPr>
    <w:tcPr>
      <w:shd w:val="clear" w:color="auto" w:fill="007D5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E2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5D3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5D3F" w:themeFill="accent5" w:themeFillShade="BF"/>
      </w:tcPr>
    </w:tblStylePr>
    <w:tblStylePr w:type="band1Vert">
      <w:tblPr/>
      <w:tcPr>
        <w:tcBorders>
          <w:top w:val="nil"/>
          <w:left w:val="nil"/>
          <w:bottom w:val="nil"/>
          <w:right w:val="nil"/>
          <w:insideH w:val="nil"/>
          <w:insideV w:val="nil"/>
        </w:tcBorders>
        <w:shd w:val="clear" w:color="auto" w:fill="005D3F" w:themeFill="accent5" w:themeFillShade="BF"/>
      </w:tcPr>
    </w:tblStylePr>
    <w:tblStylePr w:type="band1Horz">
      <w:tblPr/>
      <w:tcPr>
        <w:tcBorders>
          <w:top w:val="nil"/>
          <w:left w:val="nil"/>
          <w:bottom w:val="nil"/>
          <w:right w:val="nil"/>
          <w:insideH w:val="nil"/>
          <w:insideV w:val="nil"/>
        </w:tcBorders>
        <w:shd w:val="clear" w:color="auto" w:fill="005D3F" w:themeFill="accent5" w:themeFillShade="BF"/>
      </w:tcPr>
    </w:tblStylePr>
  </w:style>
  <w:style w:type="table" w:styleId="DarkList-Accent6">
    <w:name w:val="Dark List Accent 6"/>
    <w:basedOn w:val="TableNormal"/>
    <w:uiPriority w:val="70"/>
    <w:semiHidden/>
    <w:unhideWhenUsed/>
    <w:rsid w:val="00B632CF"/>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rsid w:val="00B632CF"/>
  </w:style>
  <w:style w:type="character" w:customStyle="1" w:styleId="DateChar">
    <w:name w:val="Date Char"/>
    <w:basedOn w:val="DefaultParagraphFont"/>
    <w:link w:val="Date"/>
    <w:uiPriority w:val="99"/>
    <w:semiHidden/>
    <w:rsid w:val="00B632CF"/>
    <w:rPr>
      <w:rFonts w:ascii="Jacobs Chronos" w:hAnsi="Jacobs Chronos" w:cs="Jacobs Chronos"/>
      <w:sz w:val="20"/>
    </w:rPr>
  </w:style>
  <w:style w:type="paragraph" w:styleId="DocumentMap">
    <w:name w:val="Document Map"/>
    <w:basedOn w:val="Normal"/>
    <w:link w:val="DocumentMapChar"/>
    <w:uiPriority w:val="99"/>
    <w:semiHidden/>
    <w:unhideWhenUsed/>
    <w:rsid w:val="00B632C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632CF"/>
    <w:rPr>
      <w:rFonts w:ascii="Segoe UI" w:hAnsi="Segoe UI" w:cs="Segoe UI"/>
      <w:sz w:val="16"/>
      <w:szCs w:val="16"/>
    </w:rPr>
  </w:style>
  <w:style w:type="paragraph" w:styleId="E-mailSignature">
    <w:name w:val="E-mail Signature"/>
    <w:basedOn w:val="Normal"/>
    <w:link w:val="E-mailSignatureChar"/>
    <w:uiPriority w:val="99"/>
    <w:semiHidden/>
    <w:unhideWhenUsed/>
    <w:rsid w:val="00B632CF"/>
    <w:pPr>
      <w:spacing w:after="0" w:line="240" w:lineRule="auto"/>
    </w:pPr>
  </w:style>
  <w:style w:type="character" w:customStyle="1" w:styleId="E-mailSignatureChar">
    <w:name w:val="E-mail Signature Char"/>
    <w:basedOn w:val="DefaultParagraphFont"/>
    <w:link w:val="E-mailSignature"/>
    <w:uiPriority w:val="99"/>
    <w:semiHidden/>
    <w:rsid w:val="00B632CF"/>
    <w:rPr>
      <w:rFonts w:ascii="Jacobs Chronos" w:hAnsi="Jacobs Chronos" w:cs="Jacobs Chronos"/>
      <w:sz w:val="20"/>
    </w:rPr>
  </w:style>
  <w:style w:type="character" w:styleId="Emphasis">
    <w:name w:val="Emphasis"/>
    <w:basedOn w:val="DefaultParagraphFont"/>
    <w:uiPriority w:val="20"/>
    <w:rsid w:val="00B632CF"/>
    <w:rPr>
      <w:i/>
      <w:iCs/>
    </w:rPr>
  </w:style>
  <w:style w:type="paragraph" w:styleId="EnvelopeAddress">
    <w:name w:val="envelope address"/>
    <w:basedOn w:val="Normal"/>
    <w:uiPriority w:val="99"/>
    <w:semiHidden/>
    <w:unhideWhenUsed/>
    <w:rsid w:val="00B632CF"/>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632CF"/>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B632CF"/>
    <w:rPr>
      <w:color w:val="FF8714" w:themeColor="followedHyperlink"/>
      <w:u w:val="single"/>
    </w:rPr>
  </w:style>
  <w:style w:type="table" w:styleId="GridTable1Light">
    <w:name w:val="Grid Table 1 Light"/>
    <w:basedOn w:val="TableNormal"/>
    <w:uiPriority w:val="46"/>
    <w:rsid w:val="00B632C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632CF"/>
    <w:tblPr>
      <w:tblStyleRowBandSize w:val="1"/>
      <w:tblStyleColBandSize w:val="1"/>
      <w:tblBorders>
        <w:top w:val="single" w:sz="4" w:space="0" w:color="A29CF6" w:themeColor="accent1" w:themeTint="66"/>
        <w:left w:val="single" w:sz="4" w:space="0" w:color="A29CF6" w:themeColor="accent1" w:themeTint="66"/>
        <w:bottom w:val="single" w:sz="4" w:space="0" w:color="A29CF6" w:themeColor="accent1" w:themeTint="66"/>
        <w:right w:val="single" w:sz="4" w:space="0" w:color="A29CF6" w:themeColor="accent1" w:themeTint="66"/>
        <w:insideH w:val="single" w:sz="4" w:space="0" w:color="A29CF6" w:themeColor="accent1" w:themeTint="66"/>
        <w:insideV w:val="single" w:sz="4" w:space="0" w:color="A29CF6" w:themeColor="accent1" w:themeTint="66"/>
      </w:tblBorders>
    </w:tblPr>
    <w:tblStylePr w:type="firstRow">
      <w:rPr>
        <w:b/>
        <w:bCs/>
      </w:rPr>
      <w:tblPr/>
      <w:tcPr>
        <w:tcBorders>
          <w:bottom w:val="single" w:sz="12" w:space="0" w:color="746AF1" w:themeColor="accent1" w:themeTint="99"/>
        </w:tcBorders>
      </w:tcPr>
    </w:tblStylePr>
    <w:tblStylePr w:type="lastRow">
      <w:rPr>
        <w:b/>
        <w:bCs/>
      </w:rPr>
      <w:tblPr/>
      <w:tcPr>
        <w:tcBorders>
          <w:top w:val="double" w:sz="2" w:space="0" w:color="746A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632CF"/>
    <w:tblPr>
      <w:tblStyleRowBandSize w:val="1"/>
      <w:tblStyleColBandSize w:val="1"/>
      <w:tblBorders>
        <w:top w:val="single" w:sz="4" w:space="0" w:color="FF5FFD" w:themeColor="accent2" w:themeTint="66"/>
        <w:left w:val="single" w:sz="4" w:space="0" w:color="FF5FFD" w:themeColor="accent2" w:themeTint="66"/>
        <w:bottom w:val="single" w:sz="4" w:space="0" w:color="FF5FFD" w:themeColor="accent2" w:themeTint="66"/>
        <w:right w:val="single" w:sz="4" w:space="0" w:color="FF5FFD" w:themeColor="accent2" w:themeTint="66"/>
        <w:insideH w:val="single" w:sz="4" w:space="0" w:color="FF5FFD" w:themeColor="accent2" w:themeTint="66"/>
        <w:insideV w:val="single" w:sz="4" w:space="0" w:color="FF5FFD" w:themeColor="accent2" w:themeTint="66"/>
      </w:tblBorders>
    </w:tblPr>
    <w:tblStylePr w:type="firstRow">
      <w:rPr>
        <w:b/>
        <w:bCs/>
      </w:rPr>
      <w:tblPr/>
      <w:tcPr>
        <w:tcBorders>
          <w:bottom w:val="single" w:sz="12" w:space="0" w:color="FF0FFC" w:themeColor="accent2" w:themeTint="99"/>
        </w:tcBorders>
      </w:tcPr>
    </w:tblStylePr>
    <w:tblStylePr w:type="lastRow">
      <w:rPr>
        <w:b/>
        <w:bCs/>
      </w:rPr>
      <w:tblPr/>
      <w:tcPr>
        <w:tcBorders>
          <w:top w:val="double" w:sz="2" w:space="0" w:color="FF0FF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632CF"/>
    <w:tblPr>
      <w:tblStyleRowBandSize w:val="1"/>
      <w:tblStyleColBandSize w:val="1"/>
      <w:tblBorders>
        <w:top w:val="single" w:sz="4" w:space="0" w:color="EFA9B8" w:themeColor="accent3" w:themeTint="66"/>
        <w:left w:val="single" w:sz="4" w:space="0" w:color="EFA9B8" w:themeColor="accent3" w:themeTint="66"/>
        <w:bottom w:val="single" w:sz="4" w:space="0" w:color="EFA9B8" w:themeColor="accent3" w:themeTint="66"/>
        <w:right w:val="single" w:sz="4" w:space="0" w:color="EFA9B8" w:themeColor="accent3" w:themeTint="66"/>
        <w:insideH w:val="single" w:sz="4" w:space="0" w:color="EFA9B8" w:themeColor="accent3" w:themeTint="66"/>
        <w:insideV w:val="single" w:sz="4" w:space="0" w:color="EFA9B8" w:themeColor="accent3" w:themeTint="66"/>
      </w:tblBorders>
    </w:tblPr>
    <w:tblStylePr w:type="firstRow">
      <w:rPr>
        <w:b/>
        <w:bCs/>
      </w:rPr>
      <w:tblPr/>
      <w:tcPr>
        <w:tcBorders>
          <w:bottom w:val="single" w:sz="12" w:space="0" w:color="E77E95" w:themeColor="accent3" w:themeTint="99"/>
        </w:tcBorders>
      </w:tcPr>
    </w:tblStylePr>
    <w:tblStylePr w:type="lastRow">
      <w:rPr>
        <w:b/>
        <w:bCs/>
      </w:rPr>
      <w:tblPr/>
      <w:tcPr>
        <w:tcBorders>
          <w:top w:val="double" w:sz="2" w:space="0" w:color="E77E9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632CF"/>
    <w:tblPr>
      <w:tblStyleRowBandSize w:val="1"/>
      <w:tblStyleColBandSize w:val="1"/>
      <w:tblBorders>
        <w:top w:val="single" w:sz="4" w:space="0" w:color="FFD8A1" w:themeColor="accent4" w:themeTint="66"/>
        <w:left w:val="single" w:sz="4" w:space="0" w:color="FFD8A1" w:themeColor="accent4" w:themeTint="66"/>
        <w:bottom w:val="single" w:sz="4" w:space="0" w:color="FFD8A1" w:themeColor="accent4" w:themeTint="66"/>
        <w:right w:val="single" w:sz="4" w:space="0" w:color="FFD8A1" w:themeColor="accent4" w:themeTint="66"/>
        <w:insideH w:val="single" w:sz="4" w:space="0" w:color="FFD8A1" w:themeColor="accent4" w:themeTint="66"/>
        <w:insideV w:val="single" w:sz="4" w:space="0" w:color="FFD8A1" w:themeColor="accent4" w:themeTint="66"/>
      </w:tblBorders>
    </w:tblPr>
    <w:tblStylePr w:type="firstRow">
      <w:rPr>
        <w:b/>
        <w:bCs/>
      </w:rPr>
      <w:tblPr/>
      <w:tcPr>
        <w:tcBorders>
          <w:bottom w:val="single" w:sz="12" w:space="0" w:color="FFC572" w:themeColor="accent4" w:themeTint="99"/>
        </w:tcBorders>
      </w:tcPr>
    </w:tblStylePr>
    <w:tblStylePr w:type="lastRow">
      <w:rPr>
        <w:b/>
        <w:bCs/>
      </w:rPr>
      <w:tblPr/>
      <w:tcPr>
        <w:tcBorders>
          <w:top w:val="double" w:sz="2" w:space="0" w:color="FFC57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632CF"/>
    <w:tblPr>
      <w:tblStyleRowBandSize w:val="1"/>
      <w:tblStyleColBandSize w:val="1"/>
      <w:tblBorders>
        <w:top w:val="single" w:sz="4" w:space="0" w:color="65FFCD" w:themeColor="accent5" w:themeTint="66"/>
        <w:left w:val="single" w:sz="4" w:space="0" w:color="65FFCD" w:themeColor="accent5" w:themeTint="66"/>
        <w:bottom w:val="single" w:sz="4" w:space="0" w:color="65FFCD" w:themeColor="accent5" w:themeTint="66"/>
        <w:right w:val="single" w:sz="4" w:space="0" w:color="65FFCD" w:themeColor="accent5" w:themeTint="66"/>
        <w:insideH w:val="single" w:sz="4" w:space="0" w:color="65FFCD" w:themeColor="accent5" w:themeTint="66"/>
        <w:insideV w:val="single" w:sz="4" w:space="0" w:color="65FFCD" w:themeColor="accent5" w:themeTint="66"/>
      </w:tblBorders>
    </w:tblPr>
    <w:tblStylePr w:type="firstRow">
      <w:rPr>
        <w:b/>
        <w:bCs/>
      </w:rPr>
      <w:tblPr/>
      <w:tcPr>
        <w:tcBorders>
          <w:bottom w:val="single" w:sz="12" w:space="0" w:color="18FFB4" w:themeColor="accent5" w:themeTint="99"/>
        </w:tcBorders>
      </w:tcPr>
    </w:tblStylePr>
    <w:tblStylePr w:type="lastRow">
      <w:rPr>
        <w:b/>
        <w:bCs/>
      </w:rPr>
      <w:tblPr/>
      <w:tcPr>
        <w:tcBorders>
          <w:top w:val="double" w:sz="2" w:space="0" w:color="18F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632CF"/>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632C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632CF"/>
    <w:tblPr>
      <w:tblStyleRowBandSize w:val="1"/>
      <w:tblStyleColBandSize w:val="1"/>
      <w:tblBorders>
        <w:top w:val="single" w:sz="2" w:space="0" w:color="746AF1" w:themeColor="accent1" w:themeTint="99"/>
        <w:bottom w:val="single" w:sz="2" w:space="0" w:color="746AF1" w:themeColor="accent1" w:themeTint="99"/>
        <w:insideH w:val="single" w:sz="2" w:space="0" w:color="746AF1" w:themeColor="accent1" w:themeTint="99"/>
        <w:insideV w:val="single" w:sz="2" w:space="0" w:color="746AF1" w:themeColor="accent1" w:themeTint="99"/>
      </w:tblBorders>
    </w:tblPr>
    <w:tblStylePr w:type="firstRow">
      <w:rPr>
        <w:b/>
        <w:bCs/>
      </w:rPr>
      <w:tblPr/>
      <w:tcPr>
        <w:tcBorders>
          <w:top w:val="nil"/>
          <w:bottom w:val="single" w:sz="12" w:space="0" w:color="746AF1" w:themeColor="accent1" w:themeTint="99"/>
          <w:insideH w:val="nil"/>
          <w:insideV w:val="nil"/>
        </w:tcBorders>
        <w:shd w:val="clear" w:color="auto" w:fill="FFFFFF" w:themeFill="background1"/>
      </w:tcPr>
    </w:tblStylePr>
    <w:tblStylePr w:type="lastRow">
      <w:rPr>
        <w:b/>
        <w:bCs/>
      </w:rPr>
      <w:tblPr/>
      <w:tcPr>
        <w:tcBorders>
          <w:top w:val="double" w:sz="2" w:space="0" w:color="746A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GridTable2-Accent2">
    <w:name w:val="Grid Table 2 Accent 2"/>
    <w:basedOn w:val="TableNormal"/>
    <w:uiPriority w:val="47"/>
    <w:rsid w:val="00B632CF"/>
    <w:tblPr>
      <w:tblStyleRowBandSize w:val="1"/>
      <w:tblStyleColBandSize w:val="1"/>
      <w:tblBorders>
        <w:top w:val="single" w:sz="2" w:space="0" w:color="FF0FFC" w:themeColor="accent2" w:themeTint="99"/>
        <w:bottom w:val="single" w:sz="2" w:space="0" w:color="FF0FFC" w:themeColor="accent2" w:themeTint="99"/>
        <w:insideH w:val="single" w:sz="2" w:space="0" w:color="FF0FFC" w:themeColor="accent2" w:themeTint="99"/>
        <w:insideV w:val="single" w:sz="2" w:space="0" w:color="FF0FFC" w:themeColor="accent2" w:themeTint="99"/>
      </w:tblBorders>
    </w:tblPr>
    <w:tblStylePr w:type="firstRow">
      <w:rPr>
        <w:b/>
        <w:bCs/>
      </w:rPr>
      <w:tblPr/>
      <w:tcPr>
        <w:tcBorders>
          <w:top w:val="nil"/>
          <w:bottom w:val="single" w:sz="12" w:space="0" w:color="FF0FFC" w:themeColor="accent2" w:themeTint="99"/>
          <w:insideH w:val="nil"/>
          <w:insideV w:val="nil"/>
        </w:tcBorders>
        <w:shd w:val="clear" w:color="auto" w:fill="FFFFFF" w:themeFill="background1"/>
      </w:tcPr>
    </w:tblStylePr>
    <w:tblStylePr w:type="lastRow">
      <w:rPr>
        <w:b/>
        <w:bCs/>
      </w:rPr>
      <w:tblPr/>
      <w:tcPr>
        <w:tcBorders>
          <w:top w:val="double" w:sz="2" w:space="0" w:color="FF0FF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GridTable2-Accent3">
    <w:name w:val="Grid Table 2 Accent 3"/>
    <w:basedOn w:val="TableNormal"/>
    <w:uiPriority w:val="47"/>
    <w:rsid w:val="00B632CF"/>
    <w:tblPr>
      <w:tblStyleRowBandSize w:val="1"/>
      <w:tblStyleColBandSize w:val="1"/>
      <w:tblBorders>
        <w:top w:val="single" w:sz="2" w:space="0" w:color="E77E95" w:themeColor="accent3" w:themeTint="99"/>
        <w:bottom w:val="single" w:sz="2" w:space="0" w:color="E77E95" w:themeColor="accent3" w:themeTint="99"/>
        <w:insideH w:val="single" w:sz="2" w:space="0" w:color="E77E95" w:themeColor="accent3" w:themeTint="99"/>
        <w:insideV w:val="single" w:sz="2" w:space="0" w:color="E77E95" w:themeColor="accent3" w:themeTint="99"/>
      </w:tblBorders>
    </w:tblPr>
    <w:tblStylePr w:type="firstRow">
      <w:rPr>
        <w:b/>
        <w:bCs/>
      </w:rPr>
      <w:tblPr/>
      <w:tcPr>
        <w:tcBorders>
          <w:top w:val="nil"/>
          <w:bottom w:val="single" w:sz="12" w:space="0" w:color="E77E95" w:themeColor="accent3" w:themeTint="99"/>
          <w:insideH w:val="nil"/>
          <w:insideV w:val="nil"/>
        </w:tcBorders>
        <w:shd w:val="clear" w:color="auto" w:fill="FFFFFF" w:themeFill="background1"/>
      </w:tcPr>
    </w:tblStylePr>
    <w:tblStylePr w:type="lastRow">
      <w:rPr>
        <w:b/>
        <w:bCs/>
      </w:rPr>
      <w:tblPr/>
      <w:tcPr>
        <w:tcBorders>
          <w:top w:val="double" w:sz="2" w:space="0" w:color="E77E9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GridTable2-Accent4">
    <w:name w:val="Grid Table 2 Accent 4"/>
    <w:basedOn w:val="TableNormal"/>
    <w:uiPriority w:val="47"/>
    <w:rsid w:val="00B632CF"/>
    <w:tblPr>
      <w:tblStyleRowBandSize w:val="1"/>
      <w:tblStyleColBandSize w:val="1"/>
      <w:tblBorders>
        <w:top w:val="single" w:sz="2" w:space="0" w:color="FFC572" w:themeColor="accent4" w:themeTint="99"/>
        <w:bottom w:val="single" w:sz="2" w:space="0" w:color="FFC572" w:themeColor="accent4" w:themeTint="99"/>
        <w:insideH w:val="single" w:sz="2" w:space="0" w:color="FFC572" w:themeColor="accent4" w:themeTint="99"/>
        <w:insideV w:val="single" w:sz="2" w:space="0" w:color="FFC572" w:themeColor="accent4" w:themeTint="99"/>
      </w:tblBorders>
    </w:tblPr>
    <w:tblStylePr w:type="firstRow">
      <w:rPr>
        <w:b/>
        <w:bCs/>
      </w:rPr>
      <w:tblPr/>
      <w:tcPr>
        <w:tcBorders>
          <w:top w:val="nil"/>
          <w:bottom w:val="single" w:sz="12" w:space="0" w:color="FFC572" w:themeColor="accent4" w:themeTint="99"/>
          <w:insideH w:val="nil"/>
          <w:insideV w:val="nil"/>
        </w:tcBorders>
        <w:shd w:val="clear" w:color="auto" w:fill="FFFFFF" w:themeFill="background1"/>
      </w:tcPr>
    </w:tblStylePr>
    <w:tblStylePr w:type="lastRow">
      <w:rPr>
        <w:b/>
        <w:bCs/>
      </w:rPr>
      <w:tblPr/>
      <w:tcPr>
        <w:tcBorders>
          <w:top w:val="double" w:sz="2" w:space="0" w:color="FFC57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GridTable2-Accent5">
    <w:name w:val="Grid Table 2 Accent 5"/>
    <w:basedOn w:val="TableNormal"/>
    <w:uiPriority w:val="47"/>
    <w:rsid w:val="00B632CF"/>
    <w:tblPr>
      <w:tblStyleRowBandSize w:val="1"/>
      <w:tblStyleColBandSize w:val="1"/>
      <w:tblBorders>
        <w:top w:val="single" w:sz="2" w:space="0" w:color="18FFB4" w:themeColor="accent5" w:themeTint="99"/>
        <w:bottom w:val="single" w:sz="2" w:space="0" w:color="18FFB4" w:themeColor="accent5" w:themeTint="99"/>
        <w:insideH w:val="single" w:sz="2" w:space="0" w:color="18FFB4" w:themeColor="accent5" w:themeTint="99"/>
        <w:insideV w:val="single" w:sz="2" w:space="0" w:color="18FFB4" w:themeColor="accent5" w:themeTint="99"/>
      </w:tblBorders>
    </w:tblPr>
    <w:tblStylePr w:type="firstRow">
      <w:rPr>
        <w:b/>
        <w:bCs/>
      </w:rPr>
      <w:tblPr/>
      <w:tcPr>
        <w:tcBorders>
          <w:top w:val="nil"/>
          <w:bottom w:val="single" w:sz="12" w:space="0" w:color="18FFB4" w:themeColor="accent5" w:themeTint="99"/>
          <w:insideH w:val="nil"/>
          <w:insideV w:val="nil"/>
        </w:tcBorders>
        <w:shd w:val="clear" w:color="auto" w:fill="FFFFFF" w:themeFill="background1"/>
      </w:tcPr>
    </w:tblStylePr>
    <w:tblStylePr w:type="lastRow">
      <w:rPr>
        <w:b/>
        <w:bCs/>
      </w:rPr>
      <w:tblPr/>
      <w:tcPr>
        <w:tcBorders>
          <w:top w:val="double" w:sz="2" w:space="0" w:color="18F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GridTable2-Accent6">
    <w:name w:val="Grid Table 2 Accent 6"/>
    <w:basedOn w:val="TableNormal"/>
    <w:uiPriority w:val="47"/>
    <w:rsid w:val="00B632CF"/>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rsid w:val="00B632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632CF"/>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CDFA" w:themeFill="accent1" w:themeFillTint="33"/>
      </w:tcPr>
    </w:tblStylePr>
    <w:tblStylePr w:type="band1Horz">
      <w:tblPr/>
      <w:tcPr>
        <w:shd w:val="clear" w:color="auto" w:fill="D0CDFA" w:themeFill="accent1" w:themeFillTint="33"/>
      </w:tcPr>
    </w:tblStylePr>
    <w:tblStylePr w:type="neCell">
      <w:tblPr/>
      <w:tcPr>
        <w:tcBorders>
          <w:bottom w:val="single" w:sz="4" w:space="0" w:color="746AF1" w:themeColor="accent1" w:themeTint="99"/>
        </w:tcBorders>
      </w:tcPr>
    </w:tblStylePr>
    <w:tblStylePr w:type="nwCell">
      <w:tblPr/>
      <w:tcPr>
        <w:tcBorders>
          <w:bottom w:val="single" w:sz="4" w:space="0" w:color="746AF1" w:themeColor="accent1" w:themeTint="99"/>
        </w:tcBorders>
      </w:tcPr>
    </w:tblStylePr>
    <w:tblStylePr w:type="seCell">
      <w:tblPr/>
      <w:tcPr>
        <w:tcBorders>
          <w:top w:val="single" w:sz="4" w:space="0" w:color="746AF1" w:themeColor="accent1" w:themeTint="99"/>
        </w:tcBorders>
      </w:tcPr>
    </w:tblStylePr>
    <w:tblStylePr w:type="swCell">
      <w:tblPr/>
      <w:tcPr>
        <w:tcBorders>
          <w:top w:val="single" w:sz="4" w:space="0" w:color="746AF1" w:themeColor="accent1" w:themeTint="99"/>
        </w:tcBorders>
      </w:tcPr>
    </w:tblStylePr>
  </w:style>
  <w:style w:type="table" w:styleId="GridTable3-Accent2">
    <w:name w:val="Grid Table 3 Accent 2"/>
    <w:basedOn w:val="TableNormal"/>
    <w:uiPriority w:val="48"/>
    <w:rsid w:val="00B632CF"/>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AFFE" w:themeFill="accent2" w:themeFillTint="33"/>
      </w:tcPr>
    </w:tblStylePr>
    <w:tblStylePr w:type="band1Horz">
      <w:tblPr/>
      <w:tcPr>
        <w:shd w:val="clear" w:color="auto" w:fill="FFAFFE" w:themeFill="accent2" w:themeFillTint="33"/>
      </w:tcPr>
    </w:tblStylePr>
    <w:tblStylePr w:type="neCell">
      <w:tblPr/>
      <w:tcPr>
        <w:tcBorders>
          <w:bottom w:val="single" w:sz="4" w:space="0" w:color="FF0FFC" w:themeColor="accent2" w:themeTint="99"/>
        </w:tcBorders>
      </w:tcPr>
    </w:tblStylePr>
    <w:tblStylePr w:type="nwCell">
      <w:tblPr/>
      <w:tcPr>
        <w:tcBorders>
          <w:bottom w:val="single" w:sz="4" w:space="0" w:color="FF0FFC" w:themeColor="accent2" w:themeTint="99"/>
        </w:tcBorders>
      </w:tcPr>
    </w:tblStylePr>
    <w:tblStylePr w:type="seCell">
      <w:tblPr/>
      <w:tcPr>
        <w:tcBorders>
          <w:top w:val="single" w:sz="4" w:space="0" w:color="FF0FFC" w:themeColor="accent2" w:themeTint="99"/>
        </w:tcBorders>
      </w:tcPr>
    </w:tblStylePr>
    <w:tblStylePr w:type="swCell">
      <w:tblPr/>
      <w:tcPr>
        <w:tcBorders>
          <w:top w:val="single" w:sz="4" w:space="0" w:color="FF0FFC" w:themeColor="accent2" w:themeTint="99"/>
        </w:tcBorders>
      </w:tcPr>
    </w:tblStylePr>
  </w:style>
  <w:style w:type="table" w:styleId="GridTable3-Accent3">
    <w:name w:val="Grid Table 3 Accent 3"/>
    <w:basedOn w:val="TableNormal"/>
    <w:uiPriority w:val="48"/>
    <w:rsid w:val="00B632CF"/>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4DB" w:themeFill="accent3" w:themeFillTint="33"/>
      </w:tcPr>
    </w:tblStylePr>
    <w:tblStylePr w:type="band1Horz">
      <w:tblPr/>
      <w:tcPr>
        <w:shd w:val="clear" w:color="auto" w:fill="F7D4DB" w:themeFill="accent3" w:themeFillTint="33"/>
      </w:tcPr>
    </w:tblStylePr>
    <w:tblStylePr w:type="neCell">
      <w:tblPr/>
      <w:tcPr>
        <w:tcBorders>
          <w:bottom w:val="single" w:sz="4" w:space="0" w:color="E77E95" w:themeColor="accent3" w:themeTint="99"/>
        </w:tcBorders>
      </w:tcPr>
    </w:tblStylePr>
    <w:tblStylePr w:type="nwCell">
      <w:tblPr/>
      <w:tcPr>
        <w:tcBorders>
          <w:bottom w:val="single" w:sz="4" w:space="0" w:color="E77E95" w:themeColor="accent3" w:themeTint="99"/>
        </w:tcBorders>
      </w:tcPr>
    </w:tblStylePr>
    <w:tblStylePr w:type="seCell">
      <w:tblPr/>
      <w:tcPr>
        <w:tcBorders>
          <w:top w:val="single" w:sz="4" w:space="0" w:color="E77E95" w:themeColor="accent3" w:themeTint="99"/>
        </w:tcBorders>
      </w:tcPr>
    </w:tblStylePr>
    <w:tblStylePr w:type="swCell">
      <w:tblPr/>
      <w:tcPr>
        <w:tcBorders>
          <w:top w:val="single" w:sz="4" w:space="0" w:color="E77E95" w:themeColor="accent3" w:themeTint="99"/>
        </w:tcBorders>
      </w:tcPr>
    </w:tblStylePr>
  </w:style>
  <w:style w:type="table" w:styleId="GridTable3-Accent4">
    <w:name w:val="Grid Table 3 Accent 4"/>
    <w:basedOn w:val="TableNormal"/>
    <w:uiPriority w:val="48"/>
    <w:rsid w:val="00B632CF"/>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0" w:themeFill="accent4" w:themeFillTint="33"/>
      </w:tcPr>
    </w:tblStylePr>
    <w:tblStylePr w:type="band1Horz">
      <w:tblPr/>
      <w:tcPr>
        <w:shd w:val="clear" w:color="auto" w:fill="FFEBD0" w:themeFill="accent4" w:themeFillTint="33"/>
      </w:tcPr>
    </w:tblStylePr>
    <w:tblStylePr w:type="neCell">
      <w:tblPr/>
      <w:tcPr>
        <w:tcBorders>
          <w:bottom w:val="single" w:sz="4" w:space="0" w:color="FFC572" w:themeColor="accent4" w:themeTint="99"/>
        </w:tcBorders>
      </w:tcPr>
    </w:tblStylePr>
    <w:tblStylePr w:type="nwCell">
      <w:tblPr/>
      <w:tcPr>
        <w:tcBorders>
          <w:bottom w:val="single" w:sz="4" w:space="0" w:color="FFC572" w:themeColor="accent4" w:themeTint="99"/>
        </w:tcBorders>
      </w:tcPr>
    </w:tblStylePr>
    <w:tblStylePr w:type="seCell">
      <w:tblPr/>
      <w:tcPr>
        <w:tcBorders>
          <w:top w:val="single" w:sz="4" w:space="0" w:color="FFC572" w:themeColor="accent4" w:themeTint="99"/>
        </w:tcBorders>
      </w:tcPr>
    </w:tblStylePr>
    <w:tblStylePr w:type="swCell">
      <w:tblPr/>
      <w:tcPr>
        <w:tcBorders>
          <w:top w:val="single" w:sz="4" w:space="0" w:color="FFC572" w:themeColor="accent4" w:themeTint="99"/>
        </w:tcBorders>
      </w:tcPr>
    </w:tblStylePr>
  </w:style>
  <w:style w:type="table" w:styleId="GridTable3-Accent5">
    <w:name w:val="Grid Table 3 Accent 5"/>
    <w:basedOn w:val="TableNormal"/>
    <w:uiPriority w:val="48"/>
    <w:rsid w:val="00B632CF"/>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FFE6" w:themeFill="accent5" w:themeFillTint="33"/>
      </w:tcPr>
    </w:tblStylePr>
    <w:tblStylePr w:type="band1Horz">
      <w:tblPr/>
      <w:tcPr>
        <w:shd w:val="clear" w:color="auto" w:fill="B2FFE6" w:themeFill="accent5" w:themeFillTint="33"/>
      </w:tcPr>
    </w:tblStylePr>
    <w:tblStylePr w:type="neCell">
      <w:tblPr/>
      <w:tcPr>
        <w:tcBorders>
          <w:bottom w:val="single" w:sz="4" w:space="0" w:color="18FFB4" w:themeColor="accent5" w:themeTint="99"/>
        </w:tcBorders>
      </w:tcPr>
    </w:tblStylePr>
    <w:tblStylePr w:type="nwCell">
      <w:tblPr/>
      <w:tcPr>
        <w:tcBorders>
          <w:bottom w:val="single" w:sz="4" w:space="0" w:color="18FFB4" w:themeColor="accent5" w:themeTint="99"/>
        </w:tcBorders>
      </w:tcPr>
    </w:tblStylePr>
    <w:tblStylePr w:type="seCell">
      <w:tblPr/>
      <w:tcPr>
        <w:tcBorders>
          <w:top w:val="single" w:sz="4" w:space="0" w:color="18FFB4" w:themeColor="accent5" w:themeTint="99"/>
        </w:tcBorders>
      </w:tcPr>
    </w:tblStylePr>
    <w:tblStylePr w:type="swCell">
      <w:tblPr/>
      <w:tcPr>
        <w:tcBorders>
          <w:top w:val="single" w:sz="4" w:space="0" w:color="18FFB4" w:themeColor="accent5" w:themeTint="99"/>
        </w:tcBorders>
      </w:tcPr>
    </w:tblStylePr>
  </w:style>
  <w:style w:type="table" w:styleId="GridTable3-Accent6">
    <w:name w:val="Grid Table 3 Accent 6"/>
    <w:basedOn w:val="TableNormal"/>
    <w:uiPriority w:val="48"/>
    <w:rsid w:val="00B632C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rsid w:val="00B632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632CF"/>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color w:val="FFFFFF" w:themeColor="background1"/>
      </w:rPr>
      <w:tblPr/>
      <w:tcPr>
        <w:tcBorders>
          <w:top w:val="single" w:sz="4" w:space="0" w:color="2314DC" w:themeColor="accent1"/>
          <w:left w:val="single" w:sz="4" w:space="0" w:color="2314DC" w:themeColor="accent1"/>
          <w:bottom w:val="single" w:sz="4" w:space="0" w:color="2314DC" w:themeColor="accent1"/>
          <w:right w:val="single" w:sz="4" w:space="0" w:color="2314DC" w:themeColor="accent1"/>
          <w:insideH w:val="nil"/>
          <w:insideV w:val="nil"/>
        </w:tcBorders>
        <w:shd w:val="clear" w:color="auto" w:fill="2314DC" w:themeFill="accent1"/>
      </w:tcPr>
    </w:tblStylePr>
    <w:tblStylePr w:type="lastRow">
      <w:rPr>
        <w:b/>
        <w:bCs/>
      </w:rPr>
      <w:tblPr/>
      <w:tcPr>
        <w:tcBorders>
          <w:top w:val="double" w:sz="4" w:space="0" w:color="2314DC" w:themeColor="accent1"/>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GridTable4-Accent2">
    <w:name w:val="Grid Table 4 Accent 2"/>
    <w:basedOn w:val="TableNormal"/>
    <w:uiPriority w:val="49"/>
    <w:rsid w:val="00B632CF"/>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color w:val="FFFFFF" w:themeColor="background1"/>
      </w:rPr>
      <w:tblPr/>
      <w:tcPr>
        <w:tcBorders>
          <w:top w:val="single" w:sz="4" w:space="0" w:color="6F006E" w:themeColor="accent2"/>
          <w:left w:val="single" w:sz="4" w:space="0" w:color="6F006E" w:themeColor="accent2"/>
          <w:bottom w:val="single" w:sz="4" w:space="0" w:color="6F006E" w:themeColor="accent2"/>
          <w:right w:val="single" w:sz="4" w:space="0" w:color="6F006E" w:themeColor="accent2"/>
          <w:insideH w:val="nil"/>
          <w:insideV w:val="nil"/>
        </w:tcBorders>
        <w:shd w:val="clear" w:color="auto" w:fill="6F006E" w:themeFill="accent2"/>
      </w:tcPr>
    </w:tblStylePr>
    <w:tblStylePr w:type="lastRow">
      <w:rPr>
        <w:b/>
        <w:bCs/>
      </w:rPr>
      <w:tblPr/>
      <w:tcPr>
        <w:tcBorders>
          <w:top w:val="double" w:sz="4" w:space="0" w:color="6F006E" w:themeColor="accent2"/>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GridTable4-Accent3">
    <w:name w:val="Grid Table 4 Accent 3"/>
    <w:basedOn w:val="TableNormal"/>
    <w:uiPriority w:val="49"/>
    <w:rsid w:val="00B632CF"/>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color w:val="FFFFFF" w:themeColor="background1"/>
      </w:rPr>
      <w:tblPr/>
      <w:tcPr>
        <w:tcBorders>
          <w:top w:val="single" w:sz="4" w:space="0" w:color="D72850" w:themeColor="accent3"/>
          <w:left w:val="single" w:sz="4" w:space="0" w:color="D72850" w:themeColor="accent3"/>
          <w:bottom w:val="single" w:sz="4" w:space="0" w:color="D72850" w:themeColor="accent3"/>
          <w:right w:val="single" w:sz="4" w:space="0" w:color="D72850" w:themeColor="accent3"/>
          <w:insideH w:val="nil"/>
          <w:insideV w:val="nil"/>
        </w:tcBorders>
        <w:shd w:val="clear" w:color="auto" w:fill="D72850" w:themeFill="accent3"/>
      </w:tcPr>
    </w:tblStylePr>
    <w:tblStylePr w:type="lastRow">
      <w:rPr>
        <w:b/>
        <w:bCs/>
      </w:rPr>
      <w:tblPr/>
      <w:tcPr>
        <w:tcBorders>
          <w:top w:val="double" w:sz="4" w:space="0" w:color="D72850" w:themeColor="accent3"/>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GridTable4-Accent4">
    <w:name w:val="Grid Table 4 Accent 4"/>
    <w:basedOn w:val="TableNormal"/>
    <w:uiPriority w:val="49"/>
    <w:rsid w:val="00B632CF"/>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color w:val="FFFFFF" w:themeColor="background1"/>
      </w:rPr>
      <w:tblPr/>
      <w:tcPr>
        <w:tcBorders>
          <w:top w:val="single" w:sz="4" w:space="0" w:color="FFA014" w:themeColor="accent4"/>
          <w:left w:val="single" w:sz="4" w:space="0" w:color="FFA014" w:themeColor="accent4"/>
          <w:bottom w:val="single" w:sz="4" w:space="0" w:color="FFA014" w:themeColor="accent4"/>
          <w:right w:val="single" w:sz="4" w:space="0" w:color="FFA014" w:themeColor="accent4"/>
          <w:insideH w:val="nil"/>
          <w:insideV w:val="nil"/>
        </w:tcBorders>
        <w:shd w:val="clear" w:color="auto" w:fill="FFA014" w:themeFill="accent4"/>
      </w:tcPr>
    </w:tblStylePr>
    <w:tblStylePr w:type="lastRow">
      <w:rPr>
        <w:b/>
        <w:bCs/>
      </w:rPr>
      <w:tblPr/>
      <w:tcPr>
        <w:tcBorders>
          <w:top w:val="double" w:sz="4" w:space="0" w:color="FFA014" w:themeColor="accent4"/>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GridTable4-Accent5">
    <w:name w:val="Grid Table 4 Accent 5"/>
    <w:basedOn w:val="TableNormal"/>
    <w:uiPriority w:val="49"/>
    <w:rsid w:val="00B632CF"/>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color w:val="FFFFFF" w:themeColor="background1"/>
      </w:rPr>
      <w:tblPr/>
      <w:tcPr>
        <w:tcBorders>
          <w:top w:val="single" w:sz="4" w:space="0" w:color="007D55" w:themeColor="accent5"/>
          <w:left w:val="single" w:sz="4" w:space="0" w:color="007D55" w:themeColor="accent5"/>
          <w:bottom w:val="single" w:sz="4" w:space="0" w:color="007D55" w:themeColor="accent5"/>
          <w:right w:val="single" w:sz="4" w:space="0" w:color="007D55" w:themeColor="accent5"/>
          <w:insideH w:val="nil"/>
          <w:insideV w:val="nil"/>
        </w:tcBorders>
        <w:shd w:val="clear" w:color="auto" w:fill="007D55" w:themeFill="accent5"/>
      </w:tcPr>
    </w:tblStylePr>
    <w:tblStylePr w:type="lastRow">
      <w:rPr>
        <w:b/>
        <w:bCs/>
      </w:rPr>
      <w:tblPr/>
      <w:tcPr>
        <w:tcBorders>
          <w:top w:val="double" w:sz="4" w:space="0" w:color="007D55" w:themeColor="accent5"/>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GridTable4-Accent6">
    <w:name w:val="Grid Table 4 Accent 6"/>
    <w:basedOn w:val="TableNormal"/>
    <w:uiPriority w:val="49"/>
    <w:rsid w:val="00B632C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5Dark">
    <w:name w:val="Grid Table 5 Dark"/>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CD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4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4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4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4DC" w:themeFill="accent1"/>
      </w:tcPr>
    </w:tblStylePr>
    <w:tblStylePr w:type="band1Vert">
      <w:tblPr/>
      <w:tcPr>
        <w:shd w:val="clear" w:color="auto" w:fill="A29CF6" w:themeFill="accent1" w:themeFillTint="66"/>
      </w:tcPr>
    </w:tblStylePr>
    <w:tblStylePr w:type="band1Horz">
      <w:tblPr/>
      <w:tcPr>
        <w:shd w:val="clear" w:color="auto" w:fill="A29CF6" w:themeFill="accent1" w:themeFillTint="66"/>
      </w:tcPr>
    </w:tblStylePr>
  </w:style>
  <w:style w:type="table" w:styleId="GridTable5Dark-Accent2">
    <w:name w:val="Grid Table 5 Dark Accent 2"/>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AFF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006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006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006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006E" w:themeFill="accent2"/>
      </w:tcPr>
    </w:tblStylePr>
    <w:tblStylePr w:type="band1Vert">
      <w:tblPr/>
      <w:tcPr>
        <w:shd w:val="clear" w:color="auto" w:fill="FF5FFD" w:themeFill="accent2" w:themeFillTint="66"/>
      </w:tcPr>
    </w:tblStylePr>
    <w:tblStylePr w:type="band1Horz">
      <w:tblPr/>
      <w:tcPr>
        <w:shd w:val="clear" w:color="auto" w:fill="FF5FFD" w:themeFill="accent2" w:themeFillTint="66"/>
      </w:tcPr>
    </w:tblStylePr>
  </w:style>
  <w:style w:type="table" w:styleId="GridTable5Dark-Accent3">
    <w:name w:val="Grid Table 5 Dark Accent 3"/>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4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285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285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285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2850" w:themeFill="accent3"/>
      </w:tcPr>
    </w:tblStylePr>
    <w:tblStylePr w:type="band1Vert">
      <w:tblPr/>
      <w:tcPr>
        <w:shd w:val="clear" w:color="auto" w:fill="EFA9B8" w:themeFill="accent3" w:themeFillTint="66"/>
      </w:tcPr>
    </w:tblStylePr>
    <w:tblStylePr w:type="band1Horz">
      <w:tblPr/>
      <w:tcPr>
        <w:shd w:val="clear" w:color="auto" w:fill="EFA9B8" w:themeFill="accent3" w:themeFillTint="66"/>
      </w:tcPr>
    </w:tblStylePr>
  </w:style>
  <w:style w:type="table" w:styleId="GridTable5Dark-Accent4">
    <w:name w:val="Grid Table 5 Dark Accent 4"/>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0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0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0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014" w:themeFill="accent4"/>
      </w:tcPr>
    </w:tblStylePr>
    <w:tblStylePr w:type="band1Vert">
      <w:tblPr/>
      <w:tcPr>
        <w:shd w:val="clear" w:color="auto" w:fill="FFD8A1" w:themeFill="accent4" w:themeFillTint="66"/>
      </w:tcPr>
    </w:tblStylePr>
    <w:tblStylePr w:type="band1Horz">
      <w:tblPr/>
      <w:tcPr>
        <w:shd w:val="clear" w:color="auto" w:fill="FFD8A1" w:themeFill="accent4" w:themeFillTint="66"/>
      </w:tcPr>
    </w:tblStylePr>
  </w:style>
  <w:style w:type="table" w:styleId="GridTable5Dark-Accent5">
    <w:name w:val="Grid Table 5 Dark Accent 5"/>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FF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D5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D5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D5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D55" w:themeFill="accent5"/>
      </w:tcPr>
    </w:tblStylePr>
    <w:tblStylePr w:type="band1Vert">
      <w:tblPr/>
      <w:tcPr>
        <w:shd w:val="clear" w:color="auto" w:fill="65FFCD" w:themeFill="accent5" w:themeFillTint="66"/>
      </w:tcPr>
    </w:tblStylePr>
    <w:tblStylePr w:type="band1Horz">
      <w:tblPr/>
      <w:tcPr>
        <w:shd w:val="clear" w:color="auto" w:fill="65FFCD" w:themeFill="accent5" w:themeFillTint="66"/>
      </w:tcPr>
    </w:tblStylePr>
  </w:style>
  <w:style w:type="table" w:styleId="GridTable5Dark-Accent6">
    <w:name w:val="Grid Table 5 Dark Accent 6"/>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rsid w:val="00B632C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632CF"/>
    <w:rPr>
      <w:color w:val="1A0FA4" w:themeColor="accent1" w:themeShade="BF"/>
    </w:rPr>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rPr>
      <w:tblPr/>
      <w:tcPr>
        <w:tcBorders>
          <w:bottom w:val="single" w:sz="12" w:space="0" w:color="746AF1" w:themeColor="accent1" w:themeTint="99"/>
        </w:tcBorders>
      </w:tcPr>
    </w:tblStylePr>
    <w:tblStylePr w:type="lastRow">
      <w:rPr>
        <w:b/>
        <w:bCs/>
      </w:rPr>
      <w:tblPr/>
      <w:tcPr>
        <w:tcBorders>
          <w:top w:val="double" w:sz="4" w:space="0" w:color="746AF1" w:themeColor="accent1" w:themeTint="99"/>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GridTable6Colorful-Accent2">
    <w:name w:val="Grid Table 6 Colorful Accent 2"/>
    <w:basedOn w:val="TableNormal"/>
    <w:uiPriority w:val="51"/>
    <w:rsid w:val="00B632CF"/>
    <w:rPr>
      <w:color w:val="530052" w:themeColor="accent2" w:themeShade="BF"/>
    </w:rPr>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rPr>
      <w:tblPr/>
      <w:tcPr>
        <w:tcBorders>
          <w:bottom w:val="single" w:sz="12" w:space="0" w:color="FF0FFC" w:themeColor="accent2" w:themeTint="99"/>
        </w:tcBorders>
      </w:tcPr>
    </w:tblStylePr>
    <w:tblStylePr w:type="lastRow">
      <w:rPr>
        <w:b/>
        <w:bCs/>
      </w:rPr>
      <w:tblPr/>
      <w:tcPr>
        <w:tcBorders>
          <w:top w:val="double" w:sz="4" w:space="0" w:color="FF0FFC" w:themeColor="accent2" w:themeTint="99"/>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GridTable6Colorful-Accent3">
    <w:name w:val="Grid Table 6 Colorful Accent 3"/>
    <w:basedOn w:val="TableNormal"/>
    <w:uiPriority w:val="51"/>
    <w:rsid w:val="00B632CF"/>
    <w:rPr>
      <w:color w:val="A11E3B" w:themeColor="accent3" w:themeShade="BF"/>
    </w:rPr>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rPr>
      <w:tblPr/>
      <w:tcPr>
        <w:tcBorders>
          <w:bottom w:val="single" w:sz="12" w:space="0" w:color="E77E95" w:themeColor="accent3" w:themeTint="99"/>
        </w:tcBorders>
      </w:tcPr>
    </w:tblStylePr>
    <w:tblStylePr w:type="lastRow">
      <w:rPr>
        <w:b/>
        <w:bCs/>
      </w:rPr>
      <w:tblPr/>
      <w:tcPr>
        <w:tcBorders>
          <w:top w:val="double" w:sz="4" w:space="0" w:color="E77E95" w:themeColor="accent3" w:themeTint="99"/>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GridTable6Colorful-Accent4">
    <w:name w:val="Grid Table 6 Colorful Accent 4"/>
    <w:basedOn w:val="TableNormal"/>
    <w:uiPriority w:val="51"/>
    <w:rsid w:val="00B632CF"/>
    <w:rPr>
      <w:color w:val="CD7900" w:themeColor="accent4" w:themeShade="BF"/>
    </w:rPr>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rPr>
      <w:tblPr/>
      <w:tcPr>
        <w:tcBorders>
          <w:bottom w:val="single" w:sz="12" w:space="0" w:color="FFC572" w:themeColor="accent4" w:themeTint="99"/>
        </w:tcBorders>
      </w:tcPr>
    </w:tblStylePr>
    <w:tblStylePr w:type="lastRow">
      <w:rPr>
        <w:b/>
        <w:bCs/>
      </w:rPr>
      <w:tblPr/>
      <w:tcPr>
        <w:tcBorders>
          <w:top w:val="double" w:sz="4" w:space="0" w:color="FFC572" w:themeColor="accent4" w:themeTint="99"/>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GridTable6Colorful-Accent5">
    <w:name w:val="Grid Table 6 Colorful Accent 5"/>
    <w:basedOn w:val="TableNormal"/>
    <w:uiPriority w:val="51"/>
    <w:rsid w:val="00B632CF"/>
    <w:rPr>
      <w:color w:val="005D3F" w:themeColor="accent5" w:themeShade="BF"/>
    </w:rPr>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rPr>
      <w:tblPr/>
      <w:tcPr>
        <w:tcBorders>
          <w:bottom w:val="single" w:sz="12" w:space="0" w:color="18FFB4" w:themeColor="accent5" w:themeTint="99"/>
        </w:tcBorders>
      </w:tcPr>
    </w:tblStylePr>
    <w:tblStylePr w:type="lastRow">
      <w:rPr>
        <w:b/>
        <w:bCs/>
      </w:rPr>
      <w:tblPr/>
      <w:tcPr>
        <w:tcBorders>
          <w:top w:val="double" w:sz="4" w:space="0" w:color="18FFB4" w:themeColor="accent5" w:themeTint="99"/>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GridTable6Colorful-Accent6">
    <w:name w:val="Grid Table 6 Colorful Accent 6"/>
    <w:basedOn w:val="TableNormal"/>
    <w:uiPriority w:val="51"/>
    <w:rsid w:val="00B632CF"/>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rsid w:val="00B632C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632CF"/>
    <w:rPr>
      <w:color w:val="1A0FA4" w:themeColor="accent1" w:themeShade="BF"/>
    </w:rPr>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CDFA" w:themeFill="accent1" w:themeFillTint="33"/>
      </w:tcPr>
    </w:tblStylePr>
    <w:tblStylePr w:type="band1Horz">
      <w:tblPr/>
      <w:tcPr>
        <w:shd w:val="clear" w:color="auto" w:fill="D0CDFA" w:themeFill="accent1" w:themeFillTint="33"/>
      </w:tcPr>
    </w:tblStylePr>
    <w:tblStylePr w:type="neCell">
      <w:tblPr/>
      <w:tcPr>
        <w:tcBorders>
          <w:bottom w:val="single" w:sz="4" w:space="0" w:color="746AF1" w:themeColor="accent1" w:themeTint="99"/>
        </w:tcBorders>
      </w:tcPr>
    </w:tblStylePr>
    <w:tblStylePr w:type="nwCell">
      <w:tblPr/>
      <w:tcPr>
        <w:tcBorders>
          <w:bottom w:val="single" w:sz="4" w:space="0" w:color="746AF1" w:themeColor="accent1" w:themeTint="99"/>
        </w:tcBorders>
      </w:tcPr>
    </w:tblStylePr>
    <w:tblStylePr w:type="seCell">
      <w:tblPr/>
      <w:tcPr>
        <w:tcBorders>
          <w:top w:val="single" w:sz="4" w:space="0" w:color="746AF1" w:themeColor="accent1" w:themeTint="99"/>
        </w:tcBorders>
      </w:tcPr>
    </w:tblStylePr>
    <w:tblStylePr w:type="swCell">
      <w:tblPr/>
      <w:tcPr>
        <w:tcBorders>
          <w:top w:val="single" w:sz="4" w:space="0" w:color="746AF1" w:themeColor="accent1" w:themeTint="99"/>
        </w:tcBorders>
      </w:tcPr>
    </w:tblStylePr>
  </w:style>
  <w:style w:type="table" w:styleId="GridTable7Colorful-Accent2">
    <w:name w:val="Grid Table 7 Colorful Accent 2"/>
    <w:basedOn w:val="TableNormal"/>
    <w:uiPriority w:val="52"/>
    <w:rsid w:val="00B632CF"/>
    <w:rPr>
      <w:color w:val="530052" w:themeColor="accent2" w:themeShade="BF"/>
    </w:rPr>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AFFE" w:themeFill="accent2" w:themeFillTint="33"/>
      </w:tcPr>
    </w:tblStylePr>
    <w:tblStylePr w:type="band1Horz">
      <w:tblPr/>
      <w:tcPr>
        <w:shd w:val="clear" w:color="auto" w:fill="FFAFFE" w:themeFill="accent2" w:themeFillTint="33"/>
      </w:tcPr>
    </w:tblStylePr>
    <w:tblStylePr w:type="neCell">
      <w:tblPr/>
      <w:tcPr>
        <w:tcBorders>
          <w:bottom w:val="single" w:sz="4" w:space="0" w:color="FF0FFC" w:themeColor="accent2" w:themeTint="99"/>
        </w:tcBorders>
      </w:tcPr>
    </w:tblStylePr>
    <w:tblStylePr w:type="nwCell">
      <w:tblPr/>
      <w:tcPr>
        <w:tcBorders>
          <w:bottom w:val="single" w:sz="4" w:space="0" w:color="FF0FFC" w:themeColor="accent2" w:themeTint="99"/>
        </w:tcBorders>
      </w:tcPr>
    </w:tblStylePr>
    <w:tblStylePr w:type="seCell">
      <w:tblPr/>
      <w:tcPr>
        <w:tcBorders>
          <w:top w:val="single" w:sz="4" w:space="0" w:color="FF0FFC" w:themeColor="accent2" w:themeTint="99"/>
        </w:tcBorders>
      </w:tcPr>
    </w:tblStylePr>
    <w:tblStylePr w:type="swCell">
      <w:tblPr/>
      <w:tcPr>
        <w:tcBorders>
          <w:top w:val="single" w:sz="4" w:space="0" w:color="FF0FFC" w:themeColor="accent2" w:themeTint="99"/>
        </w:tcBorders>
      </w:tcPr>
    </w:tblStylePr>
  </w:style>
  <w:style w:type="table" w:styleId="GridTable7Colorful-Accent3">
    <w:name w:val="Grid Table 7 Colorful Accent 3"/>
    <w:basedOn w:val="TableNormal"/>
    <w:uiPriority w:val="52"/>
    <w:rsid w:val="00B632CF"/>
    <w:rPr>
      <w:color w:val="A11E3B" w:themeColor="accent3" w:themeShade="BF"/>
    </w:rPr>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4DB" w:themeFill="accent3" w:themeFillTint="33"/>
      </w:tcPr>
    </w:tblStylePr>
    <w:tblStylePr w:type="band1Horz">
      <w:tblPr/>
      <w:tcPr>
        <w:shd w:val="clear" w:color="auto" w:fill="F7D4DB" w:themeFill="accent3" w:themeFillTint="33"/>
      </w:tcPr>
    </w:tblStylePr>
    <w:tblStylePr w:type="neCell">
      <w:tblPr/>
      <w:tcPr>
        <w:tcBorders>
          <w:bottom w:val="single" w:sz="4" w:space="0" w:color="E77E95" w:themeColor="accent3" w:themeTint="99"/>
        </w:tcBorders>
      </w:tcPr>
    </w:tblStylePr>
    <w:tblStylePr w:type="nwCell">
      <w:tblPr/>
      <w:tcPr>
        <w:tcBorders>
          <w:bottom w:val="single" w:sz="4" w:space="0" w:color="E77E95" w:themeColor="accent3" w:themeTint="99"/>
        </w:tcBorders>
      </w:tcPr>
    </w:tblStylePr>
    <w:tblStylePr w:type="seCell">
      <w:tblPr/>
      <w:tcPr>
        <w:tcBorders>
          <w:top w:val="single" w:sz="4" w:space="0" w:color="E77E95" w:themeColor="accent3" w:themeTint="99"/>
        </w:tcBorders>
      </w:tcPr>
    </w:tblStylePr>
    <w:tblStylePr w:type="swCell">
      <w:tblPr/>
      <w:tcPr>
        <w:tcBorders>
          <w:top w:val="single" w:sz="4" w:space="0" w:color="E77E95" w:themeColor="accent3" w:themeTint="99"/>
        </w:tcBorders>
      </w:tcPr>
    </w:tblStylePr>
  </w:style>
  <w:style w:type="table" w:styleId="GridTable7Colorful-Accent4">
    <w:name w:val="Grid Table 7 Colorful Accent 4"/>
    <w:basedOn w:val="TableNormal"/>
    <w:uiPriority w:val="52"/>
    <w:rsid w:val="00B632CF"/>
    <w:rPr>
      <w:color w:val="CD7900" w:themeColor="accent4" w:themeShade="BF"/>
    </w:rPr>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0" w:themeFill="accent4" w:themeFillTint="33"/>
      </w:tcPr>
    </w:tblStylePr>
    <w:tblStylePr w:type="band1Horz">
      <w:tblPr/>
      <w:tcPr>
        <w:shd w:val="clear" w:color="auto" w:fill="FFEBD0" w:themeFill="accent4" w:themeFillTint="33"/>
      </w:tcPr>
    </w:tblStylePr>
    <w:tblStylePr w:type="neCell">
      <w:tblPr/>
      <w:tcPr>
        <w:tcBorders>
          <w:bottom w:val="single" w:sz="4" w:space="0" w:color="FFC572" w:themeColor="accent4" w:themeTint="99"/>
        </w:tcBorders>
      </w:tcPr>
    </w:tblStylePr>
    <w:tblStylePr w:type="nwCell">
      <w:tblPr/>
      <w:tcPr>
        <w:tcBorders>
          <w:bottom w:val="single" w:sz="4" w:space="0" w:color="FFC572" w:themeColor="accent4" w:themeTint="99"/>
        </w:tcBorders>
      </w:tcPr>
    </w:tblStylePr>
    <w:tblStylePr w:type="seCell">
      <w:tblPr/>
      <w:tcPr>
        <w:tcBorders>
          <w:top w:val="single" w:sz="4" w:space="0" w:color="FFC572" w:themeColor="accent4" w:themeTint="99"/>
        </w:tcBorders>
      </w:tcPr>
    </w:tblStylePr>
    <w:tblStylePr w:type="swCell">
      <w:tblPr/>
      <w:tcPr>
        <w:tcBorders>
          <w:top w:val="single" w:sz="4" w:space="0" w:color="FFC572" w:themeColor="accent4" w:themeTint="99"/>
        </w:tcBorders>
      </w:tcPr>
    </w:tblStylePr>
  </w:style>
  <w:style w:type="table" w:styleId="GridTable7Colorful-Accent5">
    <w:name w:val="Grid Table 7 Colorful Accent 5"/>
    <w:basedOn w:val="TableNormal"/>
    <w:uiPriority w:val="52"/>
    <w:rsid w:val="00B632CF"/>
    <w:rPr>
      <w:color w:val="005D3F" w:themeColor="accent5" w:themeShade="BF"/>
    </w:rPr>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FFE6" w:themeFill="accent5" w:themeFillTint="33"/>
      </w:tcPr>
    </w:tblStylePr>
    <w:tblStylePr w:type="band1Horz">
      <w:tblPr/>
      <w:tcPr>
        <w:shd w:val="clear" w:color="auto" w:fill="B2FFE6" w:themeFill="accent5" w:themeFillTint="33"/>
      </w:tcPr>
    </w:tblStylePr>
    <w:tblStylePr w:type="neCell">
      <w:tblPr/>
      <w:tcPr>
        <w:tcBorders>
          <w:bottom w:val="single" w:sz="4" w:space="0" w:color="18FFB4" w:themeColor="accent5" w:themeTint="99"/>
        </w:tcBorders>
      </w:tcPr>
    </w:tblStylePr>
    <w:tblStylePr w:type="nwCell">
      <w:tblPr/>
      <w:tcPr>
        <w:tcBorders>
          <w:bottom w:val="single" w:sz="4" w:space="0" w:color="18FFB4" w:themeColor="accent5" w:themeTint="99"/>
        </w:tcBorders>
      </w:tcPr>
    </w:tblStylePr>
    <w:tblStylePr w:type="seCell">
      <w:tblPr/>
      <w:tcPr>
        <w:tcBorders>
          <w:top w:val="single" w:sz="4" w:space="0" w:color="18FFB4" w:themeColor="accent5" w:themeTint="99"/>
        </w:tcBorders>
      </w:tcPr>
    </w:tblStylePr>
    <w:tblStylePr w:type="swCell">
      <w:tblPr/>
      <w:tcPr>
        <w:tcBorders>
          <w:top w:val="single" w:sz="4" w:space="0" w:color="18FFB4" w:themeColor="accent5" w:themeTint="99"/>
        </w:tcBorders>
      </w:tcPr>
    </w:tblStylePr>
  </w:style>
  <w:style w:type="table" w:styleId="GridTable7Colorful-Accent6">
    <w:name w:val="Grid Table 7 Colorful Accent 6"/>
    <w:basedOn w:val="TableNormal"/>
    <w:uiPriority w:val="52"/>
    <w:rsid w:val="00B632CF"/>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styleId="Hashtag">
    <w:name w:val="Hashtag"/>
    <w:basedOn w:val="DefaultParagraphFont"/>
    <w:uiPriority w:val="99"/>
    <w:semiHidden/>
    <w:unhideWhenUsed/>
    <w:rsid w:val="00B632CF"/>
    <w:rPr>
      <w:color w:val="2B579A"/>
      <w:shd w:val="clear" w:color="auto" w:fill="E1DFDD"/>
    </w:rPr>
  </w:style>
  <w:style w:type="character" w:styleId="HTMLAcronym">
    <w:name w:val="HTML Acronym"/>
    <w:basedOn w:val="DefaultParagraphFont"/>
    <w:uiPriority w:val="99"/>
    <w:semiHidden/>
    <w:unhideWhenUsed/>
    <w:rsid w:val="00B632CF"/>
  </w:style>
  <w:style w:type="paragraph" w:styleId="HTMLAddress">
    <w:name w:val="HTML Address"/>
    <w:basedOn w:val="Normal"/>
    <w:link w:val="HTMLAddressChar"/>
    <w:uiPriority w:val="99"/>
    <w:semiHidden/>
    <w:unhideWhenUsed/>
    <w:rsid w:val="00B632CF"/>
    <w:pPr>
      <w:spacing w:after="0" w:line="240" w:lineRule="auto"/>
    </w:pPr>
    <w:rPr>
      <w:i/>
      <w:iCs/>
    </w:rPr>
  </w:style>
  <w:style w:type="character" w:customStyle="1" w:styleId="HTMLAddressChar">
    <w:name w:val="HTML Address Char"/>
    <w:basedOn w:val="DefaultParagraphFont"/>
    <w:link w:val="HTMLAddress"/>
    <w:uiPriority w:val="99"/>
    <w:semiHidden/>
    <w:rsid w:val="00B632CF"/>
    <w:rPr>
      <w:rFonts w:ascii="Jacobs Chronos" w:hAnsi="Jacobs Chronos" w:cs="Jacobs Chronos"/>
      <w:i/>
      <w:iCs/>
      <w:sz w:val="20"/>
    </w:rPr>
  </w:style>
  <w:style w:type="character" w:styleId="HTMLCite">
    <w:name w:val="HTML Cite"/>
    <w:basedOn w:val="DefaultParagraphFont"/>
    <w:uiPriority w:val="99"/>
    <w:semiHidden/>
    <w:unhideWhenUsed/>
    <w:rsid w:val="00B632CF"/>
    <w:rPr>
      <w:i/>
      <w:iCs/>
    </w:rPr>
  </w:style>
  <w:style w:type="character" w:styleId="HTMLCode">
    <w:name w:val="HTML Code"/>
    <w:basedOn w:val="DefaultParagraphFont"/>
    <w:uiPriority w:val="99"/>
    <w:semiHidden/>
    <w:unhideWhenUsed/>
    <w:rsid w:val="00B632CF"/>
    <w:rPr>
      <w:rFonts w:ascii="Consolas" w:hAnsi="Consolas"/>
      <w:sz w:val="20"/>
      <w:szCs w:val="20"/>
    </w:rPr>
  </w:style>
  <w:style w:type="character" w:styleId="HTMLDefinition">
    <w:name w:val="HTML Definition"/>
    <w:basedOn w:val="DefaultParagraphFont"/>
    <w:uiPriority w:val="99"/>
    <w:semiHidden/>
    <w:unhideWhenUsed/>
    <w:rsid w:val="00B632CF"/>
    <w:rPr>
      <w:i/>
      <w:iCs/>
    </w:rPr>
  </w:style>
  <w:style w:type="character" w:styleId="HTMLKeyboard">
    <w:name w:val="HTML Keyboard"/>
    <w:basedOn w:val="DefaultParagraphFont"/>
    <w:uiPriority w:val="99"/>
    <w:semiHidden/>
    <w:unhideWhenUsed/>
    <w:rsid w:val="00B632CF"/>
    <w:rPr>
      <w:rFonts w:ascii="Consolas" w:hAnsi="Consolas"/>
      <w:sz w:val="20"/>
      <w:szCs w:val="20"/>
    </w:rPr>
  </w:style>
  <w:style w:type="paragraph" w:styleId="HTMLPreformatted">
    <w:name w:val="HTML Preformatted"/>
    <w:basedOn w:val="Normal"/>
    <w:link w:val="HTMLPreformattedChar"/>
    <w:uiPriority w:val="99"/>
    <w:semiHidden/>
    <w:unhideWhenUsed/>
    <w:rsid w:val="00B632CF"/>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B632CF"/>
    <w:rPr>
      <w:rFonts w:ascii="Consolas" w:hAnsi="Consolas" w:cs="Jacobs Chronos"/>
      <w:sz w:val="20"/>
      <w:szCs w:val="20"/>
    </w:rPr>
  </w:style>
  <w:style w:type="character" w:styleId="HTMLSample">
    <w:name w:val="HTML Sample"/>
    <w:basedOn w:val="DefaultParagraphFont"/>
    <w:uiPriority w:val="99"/>
    <w:semiHidden/>
    <w:unhideWhenUsed/>
    <w:rsid w:val="00B632CF"/>
    <w:rPr>
      <w:rFonts w:ascii="Consolas" w:hAnsi="Consolas"/>
      <w:sz w:val="24"/>
      <w:szCs w:val="24"/>
    </w:rPr>
  </w:style>
  <w:style w:type="character" w:styleId="HTMLTypewriter">
    <w:name w:val="HTML Typewriter"/>
    <w:basedOn w:val="DefaultParagraphFont"/>
    <w:uiPriority w:val="99"/>
    <w:semiHidden/>
    <w:unhideWhenUsed/>
    <w:rsid w:val="00B632CF"/>
    <w:rPr>
      <w:rFonts w:ascii="Consolas" w:hAnsi="Consolas"/>
      <w:sz w:val="20"/>
      <w:szCs w:val="20"/>
    </w:rPr>
  </w:style>
  <w:style w:type="character" w:styleId="HTMLVariable">
    <w:name w:val="HTML Variable"/>
    <w:basedOn w:val="DefaultParagraphFont"/>
    <w:uiPriority w:val="99"/>
    <w:semiHidden/>
    <w:unhideWhenUsed/>
    <w:rsid w:val="00B632CF"/>
    <w:rPr>
      <w:i/>
      <w:iCs/>
    </w:rPr>
  </w:style>
  <w:style w:type="paragraph" w:styleId="Index1">
    <w:name w:val="index 1"/>
    <w:basedOn w:val="Normal"/>
    <w:next w:val="Normal"/>
    <w:autoRedefine/>
    <w:uiPriority w:val="99"/>
    <w:semiHidden/>
    <w:unhideWhenUsed/>
    <w:rsid w:val="00B632CF"/>
    <w:pPr>
      <w:spacing w:after="0" w:line="240" w:lineRule="auto"/>
      <w:ind w:left="200" w:hanging="200"/>
    </w:pPr>
  </w:style>
  <w:style w:type="paragraph" w:styleId="Index2">
    <w:name w:val="index 2"/>
    <w:basedOn w:val="Normal"/>
    <w:next w:val="Normal"/>
    <w:autoRedefine/>
    <w:uiPriority w:val="99"/>
    <w:semiHidden/>
    <w:unhideWhenUsed/>
    <w:rsid w:val="00B632CF"/>
    <w:pPr>
      <w:spacing w:after="0" w:line="240" w:lineRule="auto"/>
      <w:ind w:left="400" w:hanging="200"/>
    </w:pPr>
  </w:style>
  <w:style w:type="paragraph" w:styleId="Index3">
    <w:name w:val="index 3"/>
    <w:basedOn w:val="Normal"/>
    <w:next w:val="Normal"/>
    <w:autoRedefine/>
    <w:uiPriority w:val="99"/>
    <w:semiHidden/>
    <w:unhideWhenUsed/>
    <w:rsid w:val="00B632CF"/>
    <w:pPr>
      <w:spacing w:after="0" w:line="240" w:lineRule="auto"/>
      <w:ind w:left="600" w:hanging="200"/>
    </w:pPr>
  </w:style>
  <w:style w:type="paragraph" w:styleId="Index4">
    <w:name w:val="index 4"/>
    <w:basedOn w:val="Normal"/>
    <w:next w:val="Normal"/>
    <w:autoRedefine/>
    <w:uiPriority w:val="99"/>
    <w:semiHidden/>
    <w:unhideWhenUsed/>
    <w:rsid w:val="00B632CF"/>
    <w:pPr>
      <w:spacing w:after="0" w:line="240" w:lineRule="auto"/>
      <w:ind w:left="800" w:hanging="200"/>
    </w:pPr>
  </w:style>
  <w:style w:type="paragraph" w:styleId="Index5">
    <w:name w:val="index 5"/>
    <w:basedOn w:val="Normal"/>
    <w:next w:val="Normal"/>
    <w:autoRedefine/>
    <w:uiPriority w:val="99"/>
    <w:semiHidden/>
    <w:unhideWhenUsed/>
    <w:rsid w:val="00B632CF"/>
    <w:pPr>
      <w:spacing w:after="0" w:line="240" w:lineRule="auto"/>
      <w:ind w:left="1000" w:hanging="200"/>
    </w:pPr>
  </w:style>
  <w:style w:type="paragraph" w:styleId="Index6">
    <w:name w:val="index 6"/>
    <w:basedOn w:val="Normal"/>
    <w:next w:val="Normal"/>
    <w:autoRedefine/>
    <w:uiPriority w:val="99"/>
    <w:semiHidden/>
    <w:unhideWhenUsed/>
    <w:rsid w:val="00B632CF"/>
    <w:pPr>
      <w:spacing w:after="0" w:line="240" w:lineRule="auto"/>
      <w:ind w:left="1200" w:hanging="200"/>
    </w:pPr>
  </w:style>
  <w:style w:type="paragraph" w:styleId="Index7">
    <w:name w:val="index 7"/>
    <w:basedOn w:val="Normal"/>
    <w:next w:val="Normal"/>
    <w:autoRedefine/>
    <w:uiPriority w:val="99"/>
    <w:semiHidden/>
    <w:unhideWhenUsed/>
    <w:rsid w:val="00B632CF"/>
    <w:pPr>
      <w:spacing w:after="0" w:line="240" w:lineRule="auto"/>
      <w:ind w:left="1400" w:hanging="200"/>
    </w:pPr>
  </w:style>
  <w:style w:type="paragraph" w:styleId="Index8">
    <w:name w:val="index 8"/>
    <w:basedOn w:val="Normal"/>
    <w:next w:val="Normal"/>
    <w:autoRedefine/>
    <w:uiPriority w:val="99"/>
    <w:semiHidden/>
    <w:unhideWhenUsed/>
    <w:rsid w:val="00B632CF"/>
    <w:pPr>
      <w:spacing w:after="0" w:line="240" w:lineRule="auto"/>
      <w:ind w:left="1600" w:hanging="200"/>
    </w:pPr>
  </w:style>
  <w:style w:type="paragraph" w:styleId="Index9">
    <w:name w:val="index 9"/>
    <w:basedOn w:val="Normal"/>
    <w:next w:val="Normal"/>
    <w:autoRedefine/>
    <w:uiPriority w:val="99"/>
    <w:semiHidden/>
    <w:unhideWhenUsed/>
    <w:rsid w:val="00B632CF"/>
    <w:pPr>
      <w:spacing w:after="0" w:line="240" w:lineRule="auto"/>
      <w:ind w:left="1800" w:hanging="200"/>
    </w:pPr>
  </w:style>
  <w:style w:type="paragraph" w:styleId="IndexHeading">
    <w:name w:val="index heading"/>
    <w:basedOn w:val="Normal"/>
    <w:next w:val="Index1"/>
    <w:uiPriority w:val="99"/>
    <w:semiHidden/>
    <w:unhideWhenUsed/>
    <w:rsid w:val="00B632CF"/>
    <w:rPr>
      <w:rFonts w:asciiTheme="majorHAnsi" w:eastAsiaTheme="majorEastAsia" w:hAnsiTheme="majorHAnsi" w:cstheme="majorBidi"/>
      <w:b/>
      <w:bCs/>
    </w:rPr>
  </w:style>
  <w:style w:type="character" w:styleId="IntenseEmphasis">
    <w:name w:val="Intense Emphasis"/>
    <w:basedOn w:val="DefaultParagraphFont"/>
    <w:uiPriority w:val="21"/>
    <w:rsid w:val="00B632CF"/>
    <w:rPr>
      <w:i/>
      <w:iCs/>
      <w:color w:val="2314DC" w:themeColor="accent1"/>
    </w:rPr>
  </w:style>
  <w:style w:type="character" w:styleId="IntenseReference">
    <w:name w:val="Intense Reference"/>
    <w:basedOn w:val="DefaultParagraphFont"/>
    <w:uiPriority w:val="32"/>
    <w:rsid w:val="00B632CF"/>
    <w:rPr>
      <w:b/>
      <w:bCs/>
      <w:smallCaps/>
      <w:color w:val="2314DC" w:themeColor="accent1"/>
      <w:spacing w:val="5"/>
    </w:rPr>
  </w:style>
  <w:style w:type="table" w:styleId="LightGrid">
    <w:name w:val="Light Grid"/>
    <w:basedOn w:val="TableNormal"/>
    <w:uiPriority w:val="62"/>
    <w:semiHidden/>
    <w:unhideWhenUsed/>
    <w:rsid w:val="00B632C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632CF"/>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insideH w:val="single" w:sz="8" w:space="0" w:color="2314DC" w:themeColor="accent1"/>
        <w:insideV w:val="single" w:sz="8" w:space="0" w:color="2314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4DC" w:themeColor="accent1"/>
          <w:left w:val="single" w:sz="8" w:space="0" w:color="2314DC" w:themeColor="accent1"/>
          <w:bottom w:val="single" w:sz="18" w:space="0" w:color="2314DC" w:themeColor="accent1"/>
          <w:right w:val="single" w:sz="8" w:space="0" w:color="2314DC" w:themeColor="accent1"/>
          <w:insideH w:val="nil"/>
          <w:insideV w:val="single" w:sz="8" w:space="0" w:color="2314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4DC" w:themeColor="accent1"/>
          <w:left w:val="single" w:sz="8" w:space="0" w:color="2314DC" w:themeColor="accent1"/>
          <w:bottom w:val="single" w:sz="8" w:space="0" w:color="2314DC" w:themeColor="accent1"/>
          <w:right w:val="single" w:sz="8" w:space="0" w:color="2314DC" w:themeColor="accent1"/>
          <w:insideH w:val="nil"/>
          <w:insideV w:val="single" w:sz="8" w:space="0" w:color="2314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tcPr>
    </w:tblStylePr>
    <w:tblStylePr w:type="band1Vert">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shd w:val="clear" w:color="auto" w:fill="C5C1F9" w:themeFill="accent1" w:themeFillTint="3F"/>
      </w:tcPr>
    </w:tblStylePr>
    <w:tblStylePr w:type="band1Horz">
      <w:tblPr/>
      <w:tcPr>
        <w:tcBorders>
          <w:top w:val="single" w:sz="8" w:space="0" w:color="2314DC" w:themeColor="accent1"/>
          <w:left w:val="single" w:sz="8" w:space="0" w:color="2314DC" w:themeColor="accent1"/>
          <w:bottom w:val="single" w:sz="8" w:space="0" w:color="2314DC" w:themeColor="accent1"/>
          <w:right w:val="single" w:sz="8" w:space="0" w:color="2314DC" w:themeColor="accent1"/>
          <w:insideV w:val="single" w:sz="8" w:space="0" w:color="2314DC" w:themeColor="accent1"/>
        </w:tcBorders>
        <w:shd w:val="clear" w:color="auto" w:fill="C5C1F9" w:themeFill="accent1" w:themeFillTint="3F"/>
      </w:tcPr>
    </w:tblStylePr>
    <w:tblStylePr w:type="band2Horz">
      <w:tblPr/>
      <w:tcPr>
        <w:tcBorders>
          <w:top w:val="single" w:sz="8" w:space="0" w:color="2314DC" w:themeColor="accent1"/>
          <w:left w:val="single" w:sz="8" w:space="0" w:color="2314DC" w:themeColor="accent1"/>
          <w:bottom w:val="single" w:sz="8" w:space="0" w:color="2314DC" w:themeColor="accent1"/>
          <w:right w:val="single" w:sz="8" w:space="0" w:color="2314DC" w:themeColor="accent1"/>
          <w:insideV w:val="single" w:sz="8" w:space="0" w:color="2314DC" w:themeColor="accent1"/>
        </w:tcBorders>
      </w:tcPr>
    </w:tblStylePr>
  </w:style>
  <w:style w:type="table" w:styleId="LightGrid-Accent2">
    <w:name w:val="Light Grid Accent 2"/>
    <w:basedOn w:val="TableNormal"/>
    <w:uiPriority w:val="62"/>
    <w:semiHidden/>
    <w:unhideWhenUsed/>
    <w:rsid w:val="00B632CF"/>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insideH w:val="single" w:sz="8" w:space="0" w:color="6F006E" w:themeColor="accent2"/>
        <w:insideV w:val="single" w:sz="8" w:space="0" w:color="6F006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006E" w:themeColor="accent2"/>
          <w:left w:val="single" w:sz="8" w:space="0" w:color="6F006E" w:themeColor="accent2"/>
          <w:bottom w:val="single" w:sz="18" w:space="0" w:color="6F006E" w:themeColor="accent2"/>
          <w:right w:val="single" w:sz="8" w:space="0" w:color="6F006E" w:themeColor="accent2"/>
          <w:insideH w:val="nil"/>
          <w:insideV w:val="single" w:sz="8" w:space="0" w:color="6F006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006E" w:themeColor="accent2"/>
          <w:left w:val="single" w:sz="8" w:space="0" w:color="6F006E" w:themeColor="accent2"/>
          <w:bottom w:val="single" w:sz="8" w:space="0" w:color="6F006E" w:themeColor="accent2"/>
          <w:right w:val="single" w:sz="8" w:space="0" w:color="6F006E" w:themeColor="accent2"/>
          <w:insideH w:val="nil"/>
          <w:insideV w:val="single" w:sz="8" w:space="0" w:color="6F006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tcPr>
    </w:tblStylePr>
    <w:tblStylePr w:type="band1Vert">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shd w:val="clear" w:color="auto" w:fill="FF9CFD" w:themeFill="accent2" w:themeFillTint="3F"/>
      </w:tcPr>
    </w:tblStylePr>
    <w:tblStylePr w:type="band1Horz">
      <w:tblPr/>
      <w:tcPr>
        <w:tcBorders>
          <w:top w:val="single" w:sz="8" w:space="0" w:color="6F006E" w:themeColor="accent2"/>
          <w:left w:val="single" w:sz="8" w:space="0" w:color="6F006E" w:themeColor="accent2"/>
          <w:bottom w:val="single" w:sz="8" w:space="0" w:color="6F006E" w:themeColor="accent2"/>
          <w:right w:val="single" w:sz="8" w:space="0" w:color="6F006E" w:themeColor="accent2"/>
          <w:insideV w:val="single" w:sz="8" w:space="0" w:color="6F006E" w:themeColor="accent2"/>
        </w:tcBorders>
        <w:shd w:val="clear" w:color="auto" w:fill="FF9CFD" w:themeFill="accent2" w:themeFillTint="3F"/>
      </w:tcPr>
    </w:tblStylePr>
    <w:tblStylePr w:type="band2Horz">
      <w:tblPr/>
      <w:tcPr>
        <w:tcBorders>
          <w:top w:val="single" w:sz="8" w:space="0" w:color="6F006E" w:themeColor="accent2"/>
          <w:left w:val="single" w:sz="8" w:space="0" w:color="6F006E" w:themeColor="accent2"/>
          <w:bottom w:val="single" w:sz="8" w:space="0" w:color="6F006E" w:themeColor="accent2"/>
          <w:right w:val="single" w:sz="8" w:space="0" w:color="6F006E" w:themeColor="accent2"/>
          <w:insideV w:val="single" w:sz="8" w:space="0" w:color="6F006E" w:themeColor="accent2"/>
        </w:tcBorders>
      </w:tcPr>
    </w:tblStylePr>
  </w:style>
  <w:style w:type="table" w:styleId="LightGrid-Accent3">
    <w:name w:val="Light Grid Accent 3"/>
    <w:basedOn w:val="TableNormal"/>
    <w:uiPriority w:val="62"/>
    <w:semiHidden/>
    <w:unhideWhenUsed/>
    <w:rsid w:val="00B632CF"/>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insideH w:val="single" w:sz="8" w:space="0" w:color="D72850" w:themeColor="accent3"/>
        <w:insideV w:val="single" w:sz="8" w:space="0" w:color="D728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2850" w:themeColor="accent3"/>
          <w:left w:val="single" w:sz="8" w:space="0" w:color="D72850" w:themeColor="accent3"/>
          <w:bottom w:val="single" w:sz="18" w:space="0" w:color="D72850" w:themeColor="accent3"/>
          <w:right w:val="single" w:sz="8" w:space="0" w:color="D72850" w:themeColor="accent3"/>
          <w:insideH w:val="nil"/>
          <w:insideV w:val="single" w:sz="8" w:space="0" w:color="D728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2850" w:themeColor="accent3"/>
          <w:left w:val="single" w:sz="8" w:space="0" w:color="D72850" w:themeColor="accent3"/>
          <w:bottom w:val="single" w:sz="8" w:space="0" w:color="D72850" w:themeColor="accent3"/>
          <w:right w:val="single" w:sz="8" w:space="0" w:color="D72850" w:themeColor="accent3"/>
          <w:insideH w:val="nil"/>
          <w:insideV w:val="single" w:sz="8" w:space="0" w:color="D728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tcPr>
    </w:tblStylePr>
    <w:tblStylePr w:type="band1Vert">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shd w:val="clear" w:color="auto" w:fill="F5C9D3" w:themeFill="accent3" w:themeFillTint="3F"/>
      </w:tcPr>
    </w:tblStylePr>
    <w:tblStylePr w:type="band1Horz">
      <w:tblPr/>
      <w:tcPr>
        <w:tcBorders>
          <w:top w:val="single" w:sz="8" w:space="0" w:color="D72850" w:themeColor="accent3"/>
          <w:left w:val="single" w:sz="8" w:space="0" w:color="D72850" w:themeColor="accent3"/>
          <w:bottom w:val="single" w:sz="8" w:space="0" w:color="D72850" w:themeColor="accent3"/>
          <w:right w:val="single" w:sz="8" w:space="0" w:color="D72850" w:themeColor="accent3"/>
          <w:insideV w:val="single" w:sz="8" w:space="0" w:color="D72850" w:themeColor="accent3"/>
        </w:tcBorders>
        <w:shd w:val="clear" w:color="auto" w:fill="F5C9D3" w:themeFill="accent3" w:themeFillTint="3F"/>
      </w:tcPr>
    </w:tblStylePr>
    <w:tblStylePr w:type="band2Horz">
      <w:tblPr/>
      <w:tcPr>
        <w:tcBorders>
          <w:top w:val="single" w:sz="8" w:space="0" w:color="D72850" w:themeColor="accent3"/>
          <w:left w:val="single" w:sz="8" w:space="0" w:color="D72850" w:themeColor="accent3"/>
          <w:bottom w:val="single" w:sz="8" w:space="0" w:color="D72850" w:themeColor="accent3"/>
          <w:right w:val="single" w:sz="8" w:space="0" w:color="D72850" w:themeColor="accent3"/>
          <w:insideV w:val="single" w:sz="8" w:space="0" w:color="D72850" w:themeColor="accent3"/>
        </w:tcBorders>
      </w:tcPr>
    </w:tblStylePr>
  </w:style>
  <w:style w:type="table" w:styleId="LightGrid-Accent4">
    <w:name w:val="Light Grid Accent 4"/>
    <w:basedOn w:val="TableNormal"/>
    <w:uiPriority w:val="62"/>
    <w:semiHidden/>
    <w:unhideWhenUsed/>
    <w:rsid w:val="00B632CF"/>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insideH w:val="single" w:sz="8" w:space="0" w:color="FFA014" w:themeColor="accent4"/>
        <w:insideV w:val="single" w:sz="8" w:space="0" w:color="FFA0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014" w:themeColor="accent4"/>
          <w:left w:val="single" w:sz="8" w:space="0" w:color="FFA014" w:themeColor="accent4"/>
          <w:bottom w:val="single" w:sz="18" w:space="0" w:color="FFA014" w:themeColor="accent4"/>
          <w:right w:val="single" w:sz="8" w:space="0" w:color="FFA014" w:themeColor="accent4"/>
          <w:insideH w:val="nil"/>
          <w:insideV w:val="single" w:sz="8" w:space="0" w:color="FFA0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014" w:themeColor="accent4"/>
          <w:left w:val="single" w:sz="8" w:space="0" w:color="FFA014" w:themeColor="accent4"/>
          <w:bottom w:val="single" w:sz="8" w:space="0" w:color="FFA014" w:themeColor="accent4"/>
          <w:right w:val="single" w:sz="8" w:space="0" w:color="FFA014" w:themeColor="accent4"/>
          <w:insideH w:val="nil"/>
          <w:insideV w:val="single" w:sz="8" w:space="0" w:color="FFA0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tcPr>
    </w:tblStylePr>
    <w:tblStylePr w:type="band1Vert">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shd w:val="clear" w:color="auto" w:fill="FFE7C4" w:themeFill="accent4" w:themeFillTint="3F"/>
      </w:tcPr>
    </w:tblStylePr>
    <w:tblStylePr w:type="band1Horz">
      <w:tblPr/>
      <w:tcPr>
        <w:tcBorders>
          <w:top w:val="single" w:sz="8" w:space="0" w:color="FFA014" w:themeColor="accent4"/>
          <w:left w:val="single" w:sz="8" w:space="0" w:color="FFA014" w:themeColor="accent4"/>
          <w:bottom w:val="single" w:sz="8" w:space="0" w:color="FFA014" w:themeColor="accent4"/>
          <w:right w:val="single" w:sz="8" w:space="0" w:color="FFA014" w:themeColor="accent4"/>
          <w:insideV w:val="single" w:sz="8" w:space="0" w:color="FFA014" w:themeColor="accent4"/>
        </w:tcBorders>
        <w:shd w:val="clear" w:color="auto" w:fill="FFE7C4" w:themeFill="accent4" w:themeFillTint="3F"/>
      </w:tcPr>
    </w:tblStylePr>
    <w:tblStylePr w:type="band2Horz">
      <w:tblPr/>
      <w:tcPr>
        <w:tcBorders>
          <w:top w:val="single" w:sz="8" w:space="0" w:color="FFA014" w:themeColor="accent4"/>
          <w:left w:val="single" w:sz="8" w:space="0" w:color="FFA014" w:themeColor="accent4"/>
          <w:bottom w:val="single" w:sz="8" w:space="0" w:color="FFA014" w:themeColor="accent4"/>
          <w:right w:val="single" w:sz="8" w:space="0" w:color="FFA014" w:themeColor="accent4"/>
          <w:insideV w:val="single" w:sz="8" w:space="0" w:color="FFA014" w:themeColor="accent4"/>
        </w:tcBorders>
      </w:tcPr>
    </w:tblStylePr>
  </w:style>
  <w:style w:type="table" w:styleId="LightGrid-Accent5">
    <w:name w:val="Light Grid Accent 5"/>
    <w:basedOn w:val="TableNormal"/>
    <w:uiPriority w:val="62"/>
    <w:semiHidden/>
    <w:unhideWhenUsed/>
    <w:rsid w:val="00B632CF"/>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insideH w:val="single" w:sz="8" w:space="0" w:color="007D55" w:themeColor="accent5"/>
        <w:insideV w:val="single" w:sz="8" w:space="0" w:color="007D5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D55" w:themeColor="accent5"/>
          <w:left w:val="single" w:sz="8" w:space="0" w:color="007D55" w:themeColor="accent5"/>
          <w:bottom w:val="single" w:sz="18" w:space="0" w:color="007D55" w:themeColor="accent5"/>
          <w:right w:val="single" w:sz="8" w:space="0" w:color="007D55" w:themeColor="accent5"/>
          <w:insideH w:val="nil"/>
          <w:insideV w:val="single" w:sz="8" w:space="0" w:color="007D5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D55" w:themeColor="accent5"/>
          <w:left w:val="single" w:sz="8" w:space="0" w:color="007D55" w:themeColor="accent5"/>
          <w:bottom w:val="single" w:sz="8" w:space="0" w:color="007D55" w:themeColor="accent5"/>
          <w:right w:val="single" w:sz="8" w:space="0" w:color="007D55" w:themeColor="accent5"/>
          <w:insideH w:val="nil"/>
          <w:insideV w:val="single" w:sz="8" w:space="0" w:color="007D5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tcPr>
    </w:tblStylePr>
    <w:tblStylePr w:type="band1Vert">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shd w:val="clear" w:color="auto" w:fill="9FFFE0" w:themeFill="accent5" w:themeFillTint="3F"/>
      </w:tcPr>
    </w:tblStylePr>
    <w:tblStylePr w:type="band1Horz">
      <w:tblPr/>
      <w:tcPr>
        <w:tcBorders>
          <w:top w:val="single" w:sz="8" w:space="0" w:color="007D55" w:themeColor="accent5"/>
          <w:left w:val="single" w:sz="8" w:space="0" w:color="007D55" w:themeColor="accent5"/>
          <w:bottom w:val="single" w:sz="8" w:space="0" w:color="007D55" w:themeColor="accent5"/>
          <w:right w:val="single" w:sz="8" w:space="0" w:color="007D55" w:themeColor="accent5"/>
          <w:insideV w:val="single" w:sz="8" w:space="0" w:color="007D55" w:themeColor="accent5"/>
        </w:tcBorders>
        <w:shd w:val="clear" w:color="auto" w:fill="9FFFE0" w:themeFill="accent5" w:themeFillTint="3F"/>
      </w:tcPr>
    </w:tblStylePr>
    <w:tblStylePr w:type="band2Horz">
      <w:tblPr/>
      <w:tcPr>
        <w:tcBorders>
          <w:top w:val="single" w:sz="8" w:space="0" w:color="007D55" w:themeColor="accent5"/>
          <w:left w:val="single" w:sz="8" w:space="0" w:color="007D55" w:themeColor="accent5"/>
          <w:bottom w:val="single" w:sz="8" w:space="0" w:color="007D55" w:themeColor="accent5"/>
          <w:right w:val="single" w:sz="8" w:space="0" w:color="007D55" w:themeColor="accent5"/>
          <w:insideV w:val="single" w:sz="8" w:space="0" w:color="007D55" w:themeColor="accent5"/>
        </w:tcBorders>
      </w:tcPr>
    </w:tblStylePr>
  </w:style>
  <w:style w:type="table" w:styleId="LightGrid-Accent6">
    <w:name w:val="Light Grid Accent 6"/>
    <w:basedOn w:val="TableNormal"/>
    <w:uiPriority w:val="62"/>
    <w:semiHidden/>
    <w:unhideWhenUsed/>
    <w:rsid w:val="00B632CF"/>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rsid w:val="00B632C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632CF"/>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tblBorders>
    </w:tblPr>
    <w:tblStylePr w:type="firstRow">
      <w:pPr>
        <w:spacing w:before="0" w:after="0" w:line="240" w:lineRule="auto"/>
      </w:pPr>
      <w:rPr>
        <w:b/>
        <w:bCs/>
        <w:color w:val="FFFFFF" w:themeColor="background1"/>
      </w:rPr>
      <w:tblPr/>
      <w:tcPr>
        <w:shd w:val="clear" w:color="auto" w:fill="2314DC" w:themeFill="accent1"/>
      </w:tcPr>
    </w:tblStylePr>
    <w:tblStylePr w:type="lastRow">
      <w:pPr>
        <w:spacing w:before="0" w:after="0" w:line="240" w:lineRule="auto"/>
      </w:pPr>
      <w:rPr>
        <w:b/>
        <w:bCs/>
      </w:rPr>
      <w:tblPr/>
      <w:tcPr>
        <w:tcBorders>
          <w:top w:val="double" w:sz="6" w:space="0" w:color="2314DC" w:themeColor="accent1"/>
          <w:left w:val="single" w:sz="8" w:space="0" w:color="2314DC" w:themeColor="accent1"/>
          <w:bottom w:val="single" w:sz="8" w:space="0" w:color="2314DC" w:themeColor="accent1"/>
          <w:right w:val="single" w:sz="8" w:space="0" w:color="2314DC" w:themeColor="accent1"/>
        </w:tcBorders>
      </w:tcPr>
    </w:tblStylePr>
    <w:tblStylePr w:type="firstCol">
      <w:rPr>
        <w:b/>
        <w:bCs/>
      </w:rPr>
    </w:tblStylePr>
    <w:tblStylePr w:type="lastCol">
      <w:rPr>
        <w:b/>
        <w:bCs/>
      </w:rPr>
    </w:tblStylePr>
    <w:tblStylePr w:type="band1Vert">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tcPr>
    </w:tblStylePr>
    <w:tblStylePr w:type="band1Horz">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tcPr>
    </w:tblStylePr>
  </w:style>
  <w:style w:type="table" w:styleId="LightList-Accent2">
    <w:name w:val="Light List Accent 2"/>
    <w:basedOn w:val="TableNormal"/>
    <w:uiPriority w:val="61"/>
    <w:semiHidden/>
    <w:unhideWhenUsed/>
    <w:rsid w:val="00B632CF"/>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tblBorders>
    </w:tblPr>
    <w:tblStylePr w:type="firstRow">
      <w:pPr>
        <w:spacing w:before="0" w:after="0" w:line="240" w:lineRule="auto"/>
      </w:pPr>
      <w:rPr>
        <w:b/>
        <w:bCs/>
        <w:color w:val="FFFFFF" w:themeColor="background1"/>
      </w:rPr>
      <w:tblPr/>
      <w:tcPr>
        <w:shd w:val="clear" w:color="auto" w:fill="6F006E" w:themeFill="accent2"/>
      </w:tcPr>
    </w:tblStylePr>
    <w:tblStylePr w:type="lastRow">
      <w:pPr>
        <w:spacing w:before="0" w:after="0" w:line="240" w:lineRule="auto"/>
      </w:pPr>
      <w:rPr>
        <w:b/>
        <w:bCs/>
      </w:rPr>
      <w:tblPr/>
      <w:tcPr>
        <w:tcBorders>
          <w:top w:val="double" w:sz="6" w:space="0" w:color="6F006E" w:themeColor="accent2"/>
          <w:left w:val="single" w:sz="8" w:space="0" w:color="6F006E" w:themeColor="accent2"/>
          <w:bottom w:val="single" w:sz="8" w:space="0" w:color="6F006E" w:themeColor="accent2"/>
          <w:right w:val="single" w:sz="8" w:space="0" w:color="6F006E" w:themeColor="accent2"/>
        </w:tcBorders>
      </w:tcPr>
    </w:tblStylePr>
    <w:tblStylePr w:type="firstCol">
      <w:rPr>
        <w:b/>
        <w:bCs/>
      </w:rPr>
    </w:tblStylePr>
    <w:tblStylePr w:type="lastCol">
      <w:rPr>
        <w:b/>
        <w:bCs/>
      </w:rPr>
    </w:tblStylePr>
    <w:tblStylePr w:type="band1Vert">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tcPr>
    </w:tblStylePr>
    <w:tblStylePr w:type="band1Horz">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tcPr>
    </w:tblStylePr>
  </w:style>
  <w:style w:type="table" w:styleId="LightList-Accent3">
    <w:name w:val="Light List Accent 3"/>
    <w:basedOn w:val="TableNormal"/>
    <w:uiPriority w:val="61"/>
    <w:semiHidden/>
    <w:unhideWhenUsed/>
    <w:rsid w:val="00B632CF"/>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tblBorders>
    </w:tblPr>
    <w:tblStylePr w:type="firstRow">
      <w:pPr>
        <w:spacing w:before="0" w:after="0" w:line="240" w:lineRule="auto"/>
      </w:pPr>
      <w:rPr>
        <w:b/>
        <w:bCs/>
        <w:color w:val="FFFFFF" w:themeColor="background1"/>
      </w:rPr>
      <w:tblPr/>
      <w:tcPr>
        <w:shd w:val="clear" w:color="auto" w:fill="D72850" w:themeFill="accent3"/>
      </w:tcPr>
    </w:tblStylePr>
    <w:tblStylePr w:type="lastRow">
      <w:pPr>
        <w:spacing w:before="0" w:after="0" w:line="240" w:lineRule="auto"/>
      </w:pPr>
      <w:rPr>
        <w:b/>
        <w:bCs/>
      </w:rPr>
      <w:tblPr/>
      <w:tcPr>
        <w:tcBorders>
          <w:top w:val="double" w:sz="6" w:space="0" w:color="D72850" w:themeColor="accent3"/>
          <w:left w:val="single" w:sz="8" w:space="0" w:color="D72850" w:themeColor="accent3"/>
          <w:bottom w:val="single" w:sz="8" w:space="0" w:color="D72850" w:themeColor="accent3"/>
          <w:right w:val="single" w:sz="8" w:space="0" w:color="D72850" w:themeColor="accent3"/>
        </w:tcBorders>
      </w:tcPr>
    </w:tblStylePr>
    <w:tblStylePr w:type="firstCol">
      <w:rPr>
        <w:b/>
        <w:bCs/>
      </w:rPr>
    </w:tblStylePr>
    <w:tblStylePr w:type="lastCol">
      <w:rPr>
        <w:b/>
        <w:bCs/>
      </w:rPr>
    </w:tblStylePr>
    <w:tblStylePr w:type="band1Vert">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tcPr>
    </w:tblStylePr>
    <w:tblStylePr w:type="band1Horz">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tcPr>
    </w:tblStylePr>
  </w:style>
  <w:style w:type="table" w:styleId="LightList-Accent4">
    <w:name w:val="Light List Accent 4"/>
    <w:basedOn w:val="TableNormal"/>
    <w:uiPriority w:val="61"/>
    <w:semiHidden/>
    <w:unhideWhenUsed/>
    <w:rsid w:val="00B632CF"/>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tblBorders>
    </w:tblPr>
    <w:tblStylePr w:type="firstRow">
      <w:pPr>
        <w:spacing w:before="0" w:after="0" w:line="240" w:lineRule="auto"/>
      </w:pPr>
      <w:rPr>
        <w:b/>
        <w:bCs/>
        <w:color w:val="FFFFFF" w:themeColor="background1"/>
      </w:rPr>
      <w:tblPr/>
      <w:tcPr>
        <w:shd w:val="clear" w:color="auto" w:fill="FFA014" w:themeFill="accent4"/>
      </w:tcPr>
    </w:tblStylePr>
    <w:tblStylePr w:type="lastRow">
      <w:pPr>
        <w:spacing w:before="0" w:after="0" w:line="240" w:lineRule="auto"/>
      </w:pPr>
      <w:rPr>
        <w:b/>
        <w:bCs/>
      </w:rPr>
      <w:tblPr/>
      <w:tcPr>
        <w:tcBorders>
          <w:top w:val="double" w:sz="6" w:space="0" w:color="FFA014" w:themeColor="accent4"/>
          <w:left w:val="single" w:sz="8" w:space="0" w:color="FFA014" w:themeColor="accent4"/>
          <w:bottom w:val="single" w:sz="8" w:space="0" w:color="FFA014" w:themeColor="accent4"/>
          <w:right w:val="single" w:sz="8" w:space="0" w:color="FFA014" w:themeColor="accent4"/>
        </w:tcBorders>
      </w:tcPr>
    </w:tblStylePr>
    <w:tblStylePr w:type="firstCol">
      <w:rPr>
        <w:b/>
        <w:bCs/>
      </w:rPr>
    </w:tblStylePr>
    <w:tblStylePr w:type="lastCol">
      <w:rPr>
        <w:b/>
        <w:bCs/>
      </w:rPr>
    </w:tblStylePr>
    <w:tblStylePr w:type="band1Vert">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tcPr>
    </w:tblStylePr>
    <w:tblStylePr w:type="band1Horz">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tcPr>
    </w:tblStylePr>
  </w:style>
  <w:style w:type="table" w:styleId="LightList-Accent5">
    <w:name w:val="Light List Accent 5"/>
    <w:basedOn w:val="TableNormal"/>
    <w:uiPriority w:val="61"/>
    <w:semiHidden/>
    <w:unhideWhenUsed/>
    <w:rsid w:val="00B632CF"/>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tblBorders>
    </w:tblPr>
    <w:tblStylePr w:type="firstRow">
      <w:pPr>
        <w:spacing w:before="0" w:after="0" w:line="240" w:lineRule="auto"/>
      </w:pPr>
      <w:rPr>
        <w:b/>
        <w:bCs/>
        <w:color w:val="FFFFFF" w:themeColor="background1"/>
      </w:rPr>
      <w:tblPr/>
      <w:tcPr>
        <w:shd w:val="clear" w:color="auto" w:fill="007D55" w:themeFill="accent5"/>
      </w:tcPr>
    </w:tblStylePr>
    <w:tblStylePr w:type="lastRow">
      <w:pPr>
        <w:spacing w:before="0" w:after="0" w:line="240" w:lineRule="auto"/>
      </w:pPr>
      <w:rPr>
        <w:b/>
        <w:bCs/>
      </w:rPr>
      <w:tblPr/>
      <w:tcPr>
        <w:tcBorders>
          <w:top w:val="double" w:sz="6" w:space="0" w:color="007D55" w:themeColor="accent5"/>
          <w:left w:val="single" w:sz="8" w:space="0" w:color="007D55" w:themeColor="accent5"/>
          <w:bottom w:val="single" w:sz="8" w:space="0" w:color="007D55" w:themeColor="accent5"/>
          <w:right w:val="single" w:sz="8" w:space="0" w:color="007D55" w:themeColor="accent5"/>
        </w:tcBorders>
      </w:tcPr>
    </w:tblStylePr>
    <w:tblStylePr w:type="firstCol">
      <w:rPr>
        <w:b/>
        <w:bCs/>
      </w:rPr>
    </w:tblStylePr>
    <w:tblStylePr w:type="lastCol">
      <w:rPr>
        <w:b/>
        <w:bCs/>
      </w:rPr>
    </w:tblStylePr>
    <w:tblStylePr w:type="band1Vert">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tcPr>
    </w:tblStylePr>
    <w:tblStylePr w:type="band1Horz">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tcPr>
    </w:tblStylePr>
  </w:style>
  <w:style w:type="table" w:styleId="LightList-Accent6">
    <w:name w:val="Light List Accent 6"/>
    <w:basedOn w:val="TableNormal"/>
    <w:uiPriority w:val="61"/>
    <w:semiHidden/>
    <w:unhideWhenUsed/>
    <w:rsid w:val="00B632CF"/>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rsid w:val="00B632C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632CF"/>
    <w:rPr>
      <w:color w:val="1A0FA4" w:themeColor="accent1" w:themeShade="BF"/>
    </w:rPr>
    <w:tblPr>
      <w:tblStyleRowBandSize w:val="1"/>
      <w:tblStyleColBandSize w:val="1"/>
      <w:tblBorders>
        <w:top w:val="single" w:sz="8" w:space="0" w:color="2314DC" w:themeColor="accent1"/>
        <w:bottom w:val="single" w:sz="8" w:space="0" w:color="2314DC" w:themeColor="accent1"/>
      </w:tblBorders>
    </w:tblPr>
    <w:tblStylePr w:type="firstRow">
      <w:pPr>
        <w:spacing w:before="0" w:after="0" w:line="240" w:lineRule="auto"/>
      </w:pPr>
      <w:rPr>
        <w:b/>
        <w:bCs/>
      </w:rPr>
      <w:tblPr/>
      <w:tcPr>
        <w:tcBorders>
          <w:top w:val="single" w:sz="8" w:space="0" w:color="2314DC" w:themeColor="accent1"/>
          <w:left w:val="nil"/>
          <w:bottom w:val="single" w:sz="8" w:space="0" w:color="2314DC" w:themeColor="accent1"/>
          <w:right w:val="nil"/>
          <w:insideH w:val="nil"/>
          <w:insideV w:val="nil"/>
        </w:tcBorders>
      </w:tcPr>
    </w:tblStylePr>
    <w:tblStylePr w:type="lastRow">
      <w:pPr>
        <w:spacing w:before="0" w:after="0" w:line="240" w:lineRule="auto"/>
      </w:pPr>
      <w:rPr>
        <w:b/>
        <w:bCs/>
      </w:rPr>
      <w:tblPr/>
      <w:tcPr>
        <w:tcBorders>
          <w:top w:val="single" w:sz="8" w:space="0" w:color="2314DC" w:themeColor="accent1"/>
          <w:left w:val="nil"/>
          <w:bottom w:val="single" w:sz="8" w:space="0" w:color="2314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C1F9" w:themeFill="accent1" w:themeFillTint="3F"/>
      </w:tcPr>
    </w:tblStylePr>
    <w:tblStylePr w:type="band1Horz">
      <w:tblPr/>
      <w:tcPr>
        <w:tcBorders>
          <w:left w:val="nil"/>
          <w:right w:val="nil"/>
          <w:insideH w:val="nil"/>
          <w:insideV w:val="nil"/>
        </w:tcBorders>
        <w:shd w:val="clear" w:color="auto" w:fill="C5C1F9" w:themeFill="accent1" w:themeFillTint="3F"/>
      </w:tcPr>
    </w:tblStylePr>
  </w:style>
  <w:style w:type="table" w:styleId="LightShading-Accent2">
    <w:name w:val="Light Shading Accent 2"/>
    <w:basedOn w:val="TableNormal"/>
    <w:uiPriority w:val="60"/>
    <w:semiHidden/>
    <w:unhideWhenUsed/>
    <w:rsid w:val="00B632CF"/>
    <w:rPr>
      <w:color w:val="530052" w:themeColor="accent2" w:themeShade="BF"/>
    </w:rPr>
    <w:tblPr>
      <w:tblStyleRowBandSize w:val="1"/>
      <w:tblStyleColBandSize w:val="1"/>
      <w:tblBorders>
        <w:top w:val="single" w:sz="8" w:space="0" w:color="6F006E" w:themeColor="accent2"/>
        <w:bottom w:val="single" w:sz="8" w:space="0" w:color="6F006E" w:themeColor="accent2"/>
      </w:tblBorders>
    </w:tblPr>
    <w:tblStylePr w:type="firstRow">
      <w:pPr>
        <w:spacing w:before="0" w:after="0" w:line="240" w:lineRule="auto"/>
      </w:pPr>
      <w:rPr>
        <w:b/>
        <w:bCs/>
      </w:rPr>
      <w:tblPr/>
      <w:tcPr>
        <w:tcBorders>
          <w:top w:val="single" w:sz="8" w:space="0" w:color="6F006E" w:themeColor="accent2"/>
          <w:left w:val="nil"/>
          <w:bottom w:val="single" w:sz="8" w:space="0" w:color="6F006E" w:themeColor="accent2"/>
          <w:right w:val="nil"/>
          <w:insideH w:val="nil"/>
          <w:insideV w:val="nil"/>
        </w:tcBorders>
      </w:tcPr>
    </w:tblStylePr>
    <w:tblStylePr w:type="lastRow">
      <w:pPr>
        <w:spacing w:before="0" w:after="0" w:line="240" w:lineRule="auto"/>
      </w:pPr>
      <w:rPr>
        <w:b/>
        <w:bCs/>
      </w:rPr>
      <w:tblPr/>
      <w:tcPr>
        <w:tcBorders>
          <w:top w:val="single" w:sz="8" w:space="0" w:color="6F006E" w:themeColor="accent2"/>
          <w:left w:val="nil"/>
          <w:bottom w:val="single" w:sz="8" w:space="0" w:color="6F006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CFD" w:themeFill="accent2" w:themeFillTint="3F"/>
      </w:tcPr>
    </w:tblStylePr>
    <w:tblStylePr w:type="band1Horz">
      <w:tblPr/>
      <w:tcPr>
        <w:tcBorders>
          <w:left w:val="nil"/>
          <w:right w:val="nil"/>
          <w:insideH w:val="nil"/>
          <w:insideV w:val="nil"/>
        </w:tcBorders>
        <w:shd w:val="clear" w:color="auto" w:fill="FF9CFD" w:themeFill="accent2" w:themeFillTint="3F"/>
      </w:tcPr>
    </w:tblStylePr>
  </w:style>
  <w:style w:type="table" w:styleId="LightShading-Accent3">
    <w:name w:val="Light Shading Accent 3"/>
    <w:basedOn w:val="TableNormal"/>
    <w:uiPriority w:val="60"/>
    <w:semiHidden/>
    <w:unhideWhenUsed/>
    <w:rsid w:val="00B632CF"/>
    <w:rPr>
      <w:color w:val="A11E3B" w:themeColor="accent3" w:themeShade="BF"/>
    </w:rPr>
    <w:tblPr>
      <w:tblStyleRowBandSize w:val="1"/>
      <w:tblStyleColBandSize w:val="1"/>
      <w:tblBorders>
        <w:top w:val="single" w:sz="8" w:space="0" w:color="D72850" w:themeColor="accent3"/>
        <w:bottom w:val="single" w:sz="8" w:space="0" w:color="D72850" w:themeColor="accent3"/>
      </w:tblBorders>
    </w:tblPr>
    <w:tblStylePr w:type="firstRow">
      <w:pPr>
        <w:spacing w:before="0" w:after="0" w:line="240" w:lineRule="auto"/>
      </w:pPr>
      <w:rPr>
        <w:b/>
        <w:bCs/>
      </w:rPr>
      <w:tblPr/>
      <w:tcPr>
        <w:tcBorders>
          <w:top w:val="single" w:sz="8" w:space="0" w:color="D72850" w:themeColor="accent3"/>
          <w:left w:val="nil"/>
          <w:bottom w:val="single" w:sz="8" w:space="0" w:color="D72850" w:themeColor="accent3"/>
          <w:right w:val="nil"/>
          <w:insideH w:val="nil"/>
          <w:insideV w:val="nil"/>
        </w:tcBorders>
      </w:tcPr>
    </w:tblStylePr>
    <w:tblStylePr w:type="lastRow">
      <w:pPr>
        <w:spacing w:before="0" w:after="0" w:line="240" w:lineRule="auto"/>
      </w:pPr>
      <w:rPr>
        <w:b/>
        <w:bCs/>
      </w:rPr>
      <w:tblPr/>
      <w:tcPr>
        <w:tcBorders>
          <w:top w:val="single" w:sz="8" w:space="0" w:color="D72850" w:themeColor="accent3"/>
          <w:left w:val="nil"/>
          <w:bottom w:val="single" w:sz="8" w:space="0" w:color="D728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9D3" w:themeFill="accent3" w:themeFillTint="3F"/>
      </w:tcPr>
    </w:tblStylePr>
    <w:tblStylePr w:type="band1Horz">
      <w:tblPr/>
      <w:tcPr>
        <w:tcBorders>
          <w:left w:val="nil"/>
          <w:right w:val="nil"/>
          <w:insideH w:val="nil"/>
          <w:insideV w:val="nil"/>
        </w:tcBorders>
        <w:shd w:val="clear" w:color="auto" w:fill="F5C9D3" w:themeFill="accent3" w:themeFillTint="3F"/>
      </w:tcPr>
    </w:tblStylePr>
  </w:style>
  <w:style w:type="table" w:styleId="LightShading-Accent4">
    <w:name w:val="Light Shading Accent 4"/>
    <w:basedOn w:val="TableNormal"/>
    <w:uiPriority w:val="60"/>
    <w:semiHidden/>
    <w:unhideWhenUsed/>
    <w:rsid w:val="00B632CF"/>
    <w:rPr>
      <w:color w:val="CD7900" w:themeColor="accent4" w:themeShade="BF"/>
    </w:rPr>
    <w:tblPr>
      <w:tblStyleRowBandSize w:val="1"/>
      <w:tblStyleColBandSize w:val="1"/>
      <w:tblBorders>
        <w:top w:val="single" w:sz="8" w:space="0" w:color="FFA014" w:themeColor="accent4"/>
        <w:bottom w:val="single" w:sz="8" w:space="0" w:color="FFA014" w:themeColor="accent4"/>
      </w:tblBorders>
    </w:tblPr>
    <w:tblStylePr w:type="firstRow">
      <w:pPr>
        <w:spacing w:before="0" w:after="0" w:line="240" w:lineRule="auto"/>
      </w:pPr>
      <w:rPr>
        <w:b/>
        <w:bCs/>
      </w:rPr>
      <w:tblPr/>
      <w:tcPr>
        <w:tcBorders>
          <w:top w:val="single" w:sz="8" w:space="0" w:color="FFA014" w:themeColor="accent4"/>
          <w:left w:val="nil"/>
          <w:bottom w:val="single" w:sz="8" w:space="0" w:color="FFA014" w:themeColor="accent4"/>
          <w:right w:val="nil"/>
          <w:insideH w:val="nil"/>
          <w:insideV w:val="nil"/>
        </w:tcBorders>
      </w:tcPr>
    </w:tblStylePr>
    <w:tblStylePr w:type="lastRow">
      <w:pPr>
        <w:spacing w:before="0" w:after="0" w:line="240" w:lineRule="auto"/>
      </w:pPr>
      <w:rPr>
        <w:b/>
        <w:bCs/>
      </w:rPr>
      <w:tblPr/>
      <w:tcPr>
        <w:tcBorders>
          <w:top w:val="single" w:sz="8" w:space="0" w:color="FFA014" w:themeColor="accent4"/>
          <w:left w:val="nil"/>
          <w:bottom w:val="single" w:sz="8" w:space="0" w:color="FFA0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7C4" w:themeFill="accent4" w:themeFillTint="3F"/>
      </w:tcPr>
    </w:tblStylePr>
    <w:tblStylePr w:type="band1Horz">
      <w:tblPr/>
      <w:tcPr>
        <w:tcBorders>
          <w:left w:val="nil"/>
          <w:right w:val="nil"/>
          <w:insideH w:val="nil"/>
          <w:insideV w:val="nil"/>
        </w:tcBorders>
        <w:shd w:val="clear" w:color="auto" w:fill="FFE7C4" w:themeFill="accent4" w:themeFillTint="3F"/>
      </w:tcPr>
    </w:tblStylePr>
  </w:style>
  <w:style w:type="table" w:styleId="LightShading-Accent5">
    <w:name w:val="Light Shading Accent 5"/>
    <w:basedOn w:val="TableNormal"/>
    <w:uiPriority w:val="60"/>
    <w:semiHidden/>
    <w:unhideWhenUsed/>
    <w:rsid w:val="00B632CF"/>
    <w:rPr>
      <w:color w:val="005D3F" w:themeColor="accent5" w:themeShade="BF"/>
    </w:rPr>
    <w:tblPr>
      <w:tblStyleRowBandSize w:val="1"/>
      <w:tblStyleColBandSize w:val="1"/>
      <w:tblBorders>
        <w:top w:val="single" w:sz="8" w:space="0" w:color="007D55" w:themeColor="accent5"/>
        <w:bottom w:val="single" w:sz="8" w:space="0" w:color="007D55" w:themeColor="accent5"/>
      </w:tblBorders>
    </w:tblPr>
    <w:tblStylePr w:type="firstRow">
      <w:pPr>
        <w:spacing w:before="0" w:after="0" w:line="240" w:lineRule="auto"/>
      </w:pPr>
      <w:rPr>
        <w:b/>
        <w:bCs/>
      </w:rPr>
      <w:tblPr/>
      <w:tcPr>
        <w:tcBorders>
          <w:top w:val="single" w:sz="8" w:space="0" w:color="007D55" w:themeColor="accent5"/>
          <w:left w:val="nil"/>
          <w:bottom w:val="single" w:sz="8" w:space="0" w:color="007D55" w:themeColor="accent5"/>
          <w:right w:val="nil"/>
          <w:insideH w:val="nil"/>
          <w:insideV w:val="nil"/>
        </w:tcBorders>
      </w:tcPr>
    </w:tblStylePr>
    <w:tblStylePr w:type="lastRow">
      <w:pPr>
        <w:spacing w:before="0" w:after="0" w:line="240" w:lineRule="auto"/>
      </w:pPr>
      <w:rPr>
        <w:b/>
        <w:bCs/>
      </w:rPr>
      <w:tblPr/>
      <w:tcPr>
        <w:tcBorders>
          <w:top w:val="single" w:sz="8" w:space="0" w:color="007D55" w:themeColor="accent5"/>
          <w:left w:val="nil"/>
          <w:bottom w:val="single" w:sz="8" w:space="0" w:color="007D5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FE0" w:themeFill="accent5" w:themeFillTint="3F"/>
      </w:tcPr>
    </w:tblStylePr>
    <w:tblStylePr w:type="band1Horz">
      <w:tblPr/>
      <w:tcPr>
        <w:tcBorders>
          <w:left w:val="nil"/>
          <w:right w:val="nil"/>
          <w:insideH w:val="nil"/>
          <w:insideV w:val="nil"/>
        </w:tcBorders>
        <w:shd w:val="clear" w:color="auto" w:fill="9FFFE0" w:themeFill="accent5" w:themeFillTint="3F"/>
      </w:tcPr>
    </w:tblStylePr>
  </w:style>
  <w:style w:type="table" w:styleId="LightShading-Accent6">
    <w:name w:val="Light Shading Accent 6"/>
    <w:basedOn w:val="TableNormal"/>
    <w:uiPriority w:val="60"/>
    <w:semiHidden/>
    <w:unhideWhenUsed/>
    <w:rsid w:val="00B632CF"/>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rsid w:val="00B632CF"/>
  </w:style>
  <w:style w:type="paragraph" w:styleId="List">
    <w:name w:val="List"/>
    <w:basedOn w:val="Normal"/>
    <w:uiPriority w:val="99"/>
    <w:semiHidden/>
    <w:unhideWhenUsed/>
    <w:rsid w:val="00B632CF"/>
    <w:pPr>
      <w:ind w:left="283" w:hanging="283"/>
      <w:contextualSpacing/>
    </w:pPr>
  </w:style>
  <w:style w:type="paragraph" w:styleId="List2">
    <w:name w:val="List 2"/>
    <w:basedOn w:val="Normal"/>
    <w:uiPriority w:val="99"/>
    <w:semiHidden/>
    <w:unhideWhenUsed/>
    <w:rsid w:val="00B632CF"/>
    <w:pPr>
      <w:ind w:left="566" w:hanging="283"/>
      <w:contextualSpacing/>
    </w:pPr>
  </w:style>
  <w:style w:type="paragraph" w:styleId="List3">
    <w:name w:val="List 3"/>
    <w:basedOn w:val="Normal"/>
    <w:uiPriority w:val="99"/>
    <w:semiHidden/>
    <w:unhideWhenUsed/>
    <w:rsid w:val="00B632CF"/>
    <w:pPr>
      <w:ind w:left="849" w:hanging="283"/>
      <w:contextualSpacing/>
    </w:pPr>
  </w:style>
  <w:style w:type="paragraph" w:styleId="List4">
    <w:name w:val="List 4"/>
    <w:basedOn w:val="Normal"/>
    <w:uiPriority w:val="99"/>
    <w:semiHidden/>
    <w:unhideWhenUsed/>
    <w:rsid w:val="00B632CF"/>
    <w:pPr>
      <w:ind w:left="1132" w:hanging="283"/>
      <w:contextualSpacing/>
    </w:pPr>
  </w:style>
  <w:style w:type="paragraph" w:styleId="List5">
    <w:name w:val="List 5"/>
    <w:basedOn w:val="Normal"/>
    <w:uiPriority w:val="99"/>
    <w:semiHidden/>
    <w:unhideWhenUsed/>
    <w:rsid w:val="00B632CF"/>
    <w:pPr>
      <w:ind w:left="1415" w:hanging="283"/>
      <w:contextualSpacing/>
    </w:pPr>
  </w:style>
  <w:style w:type="paragraph" w:styleId="ListBullet2">
    <w:name w:val="List Bullet 2"/>
    <w:basedOn w:val="Normal"/>
    <w:uiPriority w:val="2"/>
    <w:semiHidden/>
    <w:unhideWhenUsed/>
    <w:qFormat/>
    <w:rsid w:val="00B632CF"/>
    <w:pPr>
      <w:numPr>
        <w:numId w:val="62"/>
      </w:numPr>
      <w:contextualSpacing/>
    </w:pPr>
  </w:style>
  <w:style w:type="paragraph" w:styleId="ListBullet3">
    <w:name w:val="List Bullet 3"/>
    <w:basedOn w:val="Normal"/>
    <w:uiPriority w:val="99"/>
    <w:semiHidden/>
    <w:unhideWhenUsed/>
    <w:rsid w:val="00B632CF"/>
    <w:pPr>
      <w:numPr>
        <w:numId w:val="63"/>
      </w:numPr>
      <w:contextualSpacing/>
    </w:pPr>
  </w:style>
  <w:style w:type="paragraph" w:styleId="ListBullet4">
    <w:name w:val="List Bullet 4"/>
    <w:basedOn w:val="Normal"/>
    <w:uiPriority w:val="99"/>
    <w:semiHidden/>
    <w:unhideWhenUsed/>
    <w:rsid w:val="00B632CF"/>
    <w:pPr>
      <w:numPr>
        <w:numId w:val="64"/>
      </w:numPr>
      <w:contextualSpacing/>
    </w:pPr>
  </w:style>
  <w:style w:type="paragraph" w:styleId="ListBullet5">
    <w:name w:val="List Bullet 5"/>
    <w:basedOn w:val="Normal"/>
    <w:uiPriority w:val="99"/>
    <w:semiHidden/>
    <w:unhideWhenUsed/>
    <w:rsid w:val="00B632CF"/>
    <w:pPr>
      <w:numPr>
        <w:numId w:val="65"/>
      </w:numPr>
      <w:contextualSpacing/>
    </w:pPr>
  </w:style>
  <w:style w:type="paragraph" w:styleId="ListContinue">
    <w:name w:val="List Continue"/>
    <w:basedOn w:val="Normal"/>
    <w:uiPriority w:val="99"/>
    <w:semiHidden/>
    <w:unhideWhenUsed/>
    <w:rsid w:val="00B632CF"/>
    <w:pPr>
      <w:spacing w:after="120"/>
      <w:ind w:left="283"/>
      <w:contextualSpacing/>
    </w:pPr>
  </w:style>
  <w:style w:type="paragraph" w:styleId="ListContinue2">
    <w:name w:val="List Continue 2"/>
    <w:basedOn w:val="Normal"/>
    <w:uiPriority w:val="99"/>
    <w:semiHidden/>
    <w:unhideWhenUsed/>
    <w:rsid w:val="00B632CF"/>
    <w:pPr>
      <w:spacing w:after="120"/>
      <w:ind w:left="566"/>
      <w:contextualSpacing/>
    </w:pPr>
  </w:style>
  <w:style w:type="paragraph" w:styleId="ListContinue3">
    <w:name w:val="List Continue 3"/>
    <w:basedOn w:val="Normal"/>
    <w:uiPriority w:val="99"/>
    <w:semiHidden/>
    <w:unhideWhenUsed/>
    <w:rsid w:val="00B632CF"/>
    <w:pPr>
      <w:spacing w:after="120"/>
      <w:ind w:left="849"/>
      <w:contextualSpacing/>
    </w:pPr>
  </w:style>
  <w:style w:type="paragraph" w:styleId="ListContinue4">
    <w:name w:val="List Continue 4"/>
    <w:basedOn w:val="Normal"/>
    <w:uiPriority w:val="99"/>
    <w:semiHidden/>
    <w:unhideWhenUsed/>
    <w:rsid w:val="00B632CF"/>
    <w:pPr>
      <w:spacing w:after="120"/>
      <w:ind w:left="1132"/>
      <w:contextualSpacing/>
    </w:pPr>
  </w:style>
  <w:style w:type="paragraph" w:styleId="ListContinue5">
    <w:name w:val="List Continue 5"/>
    <w:basedOn w:val="Normal"/>
    <w:uiPriority w:val="99"/>
    <w:semiHidden/>
    <w:unhideWhenUsed/>
    <w:rsid w:val="00B632CF"/>
    <w:pPr>
      <w:spacing w:after="120"/>
      <w:ind w:left="1415"/>
      <w:contextualSpacing/>
    </w:pPr>
  </w:style>
  <w:style w:type="paragraph" w:styleId="ListNumber">
    <w:name w:val="List Number"/>
    <w:basedOn w:val="Normal"/>
    <w:uiPriority w:val="99"/>
    <w:semiHidden/>
    <w:unhideWhenUsed/>
    <w:rsid w:val="00B632CF"/>
    <w:pPr>
      <w:numPr>
        <w:numId w:val="66"/>
      </w:numPr>
      <w:contextualSpacing/>
    </w:pPr>
  </w:style>
  <w:style w:type="paragraph" w:styleId="ListNumber2">
    <w:name w:val="List Number 2"/>
    <w:basedOn w:val="Normal"/>
    <w:uiPriority w:val="99"/>
    <w:semiHidden/>
    <w:unhideWhenUsed/>
    <w:rsid w:val="00B632CF"/>
    <w:pPr>
      <w:numPr>
        <w:numId w:val="67"/>
      </w:numPr>
      <w:contextualSpacing/>
    </w:pPr>
  </w:style>
  <w:style w:type="paragraph" w:styleId="ListNumber3">
    <w:name w:val="List Number 3"/>
    <w:basedOn w:val="Normal"/>
    <w:uiPriority w:val="99"/>
    <w:semiHidden/>
    <w:unhideWhenUsed/>
    <w:rsid w:val="00B632CF"/>
    <w:pPr>
      <w:numPr>
        <w:numId w:val="68"/>
      </w:numPr>
      <w:contextualSpacing/>
    </w:pPr>
  </w:style>
  <w:style w:type="paragraph" w:styleId="ListNumber4">
    <w:name w:val="List Number 4"/>
    <w:basedOn w:val="Normal"/>
    <w:uiPriority w:val="99"/>
    <w:semiHidden/>
    <w:unhideWhenUsed/>
    <w:rsid w:val="00B632CF"/>
    <w:pPr>
      <w:numPr>
        <w:numId w:val="69"/>
      </w:numPr>
      <w:contextualSpacing/>
    </w:pPr>
  </w:style>
  <w:style w:type="paragraph" w:styleId="ListNumber5">
    <w:name w:val="List Number 5"/>
    <w:basedOn w:val="Normal"/>
    <w:uiPriority w:val="99"/>
    <w:semiHidden/>
    <w:unhideWhenUsed/>
    <w:rsid w:val="00B632CF"/>
    <w:pPr>
      <w:numPr>
        <w:numId w:val="70"/>
      </w:numPr>
      <w:contextualSpacing/>
    </w:pPr>
  </w:style>
  <w:style w:type="paragraph" w:styleId="ListParagraph">
    <w:name w:val="List Paragraph"/>
    <w:basedOn w:val="Normal"/>
    <w:uiPriority w:val="34"/>
    <w:qFormat/>
    <w:rsid w:val="00B632CF"/>
    <w:pPr>
      <w:ind w:left="720"/>
      <w:contextualSpacing/>
    </w:pPr>
  </w:style>
  <w:style w:type="table" w:styleId="ListTable1Light">
    <w:name w:val="List Table 1 Light"/>
    <w:basedOn w:val="TableNormal"/>
    <w:uiPriority w:val="46"/>
    <w:rsid w:val="00B632C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632CF"/>
    <w:tblPr>
      <w:tblStyleRowBandSize w:val="1"/>
      <w:tblStyleColBandSize w:val="1"/>
    </w:tblPr>
    <w:tblStylePr w:type="firstRow">
      <w:rPr>
        <w:b/>
        <w:bCs/>
      </w:rPr>
      <w:tblPr/>
      <w:tcPr>
        <w:tcBorders>
          <w:bottom w:val="single" w:sz="4" w:space="0" w:color="746AF1" w:themeColor="accent1" w:themeTint="99"/>
        </w:tcBorders>
      </w:tcPr>
    </w:tblStylePr>
    <w:tblStylePr w:type="lastRow">
      <w:rPr>
        <w:b/>
        <w:bCs/>
      </w:rPr>
      <w:tblPr/>
      <w:tcPr>
        <w:tcBorders>
          <w:top w:val="single" w:sz="4" w:space="0" w:color="746AF1" w:themeColor="accent1" w:themeTint="99"/>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1Light-Accent2">
    <w:name w:val="List Table 1 Light Accent 2"/>
    <w:basedOn w:val="TableNormal"/>
    <w:uiPriority w:val="46"/>
    <w:rsid w:val="00B632CF"/>
    <w:tblPr>
      <w:tblStyleRowBandSize w:val="1"/>
      <w:tblStyleColBandSize w:val="1"/>
    </w:tblPr>
    <w:tblStylePr w:type="firstRow">
      <w:rPr>
        <w:b/>
        <w:bCs/>
      </w:rPr>
      <w:tblPr/>
      <w:tcPr>
        <w:tcBorders>
          <w:bottom w:val="single" w:sz="4" w:space="0" w:color="FF0FFC" w:themeColor="accent2" w:themeTint="99"/>
        </w:tcBorders>
      </w:tcPr>
    </w:tblStylePr>
    <w:tblStylePr w:type="lastRow">
      <w:rPr>
        <w:b/>
        <w:bCs/>
      </w:rPr>
      <w:tblPr/>
      <w:tcPr>
        <w:tcBorders>
          <w:top w:val="single" w:sz="4" w:space="0" w:color="FF0FFC" w:themeColor="accent2" w:themeTint="99"/>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1Light-Accent3">
    <w:name w:val="List Table 1 Light Accent 3"/>
    <w:basedOn w:val="TableNormal"/>
    <w:uiPriority w:val="46"/>
    <w:rsid w:val="00B632CF"/>
    <w:tblPr>
      <w:tblStyleRowBandSize w:val="1"/>
      <w:tblStyleColBandSize w:val="1"/>
    </w:tblPr>
    <w:tblStylePr w:type="firstRow">
      <w:rPr>
        <w:b/>
        <w:bCs/>
      </w:rPr>
      <w:tblPr/>
      <w:tcPr>
        <w:tcBorders>
          <w:bottom w:val="single" w:sz="4" w:space="0" w:color="E77E95" w:themeColor="accent3" w:themeTint="99"/>
        </w:tcBorders>
      </w:tcPr>
    </w:tblStylePr>
    <w:tblStylePr w:type="lastRow">
      <w:rPr>
        <w:b/>
        <w:bCs/>
      </w:rPr>
      <w:tblPr/>
      <w:tcPr>
        <w:tcBorders>
          <w:top w:val="single" w:sz="4" w:space="0" w:color="E77E95" w:themeColor="accent3" w:themeTint="99"/>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1Light-Accent4">
    <w:name w:val="List Table 1 Light Accent 4"/>
    <w:basedOn w:val="TableNormal"/>
    <w:uiPriority w:val="46"/>
    <w:rsid w:val="00B632CF"/>
    <w:tblPr>
      <w:tblStyleRowBandSize w:val="1"/>
      <w:tblStyleColBandSize w:val="1"/>
    </w:tblPr>
    <w:tblStylePr w:type="firstRow">
      <w:rPr>
        <w:b/>
        <w:bCs/>
      </w:rPr>
      <w:tblPr/>
      <w:tcPr>
        <w:tcBorders>
          <w:bottom w:val="single" w:sz="4" w:space="0" w:color="FFC572" w:themeColor="accent4" w:themeTint="99"/>
        </w:tcBorders>
      </w:tcPr>
    </w:tblStylePr>
    <w:tblStylePr w:type="lastRow">
      <w:rPr>
        <w:b/>
        <w:bCs/>
      </w:rPr>
      <w:tblPr/>
      <w:tcPr>
        <w:tcBorders>
          <w:top w:val="single" w:sz="4" w:space="0" w:color="FFC572" w:themeColor="accent4" w:themeTint="99"/>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1Light-Accent5">
    <w:name w:val="List Table 1 Light Accent 5"/>
    <w:basedOn w:val="TableNormal"/>
    <w:uiPriority w:val="46"/>
    <w:rsid w:val="00B632CF"/>
    <w:tblPr>
      <w:tblStyleRowBandSize w:val="1"/>
      <w:tblStyleColBandSize w:val="1"/>
    </w:tblPr>
    <w:tblStylePr w:type="firstRow">
      <w:rPr>
        <w:b/>
        <w:bCs/>
      </w:rPr>
      <w:tblPr/>
      <w:tcPr>
        <w:tcBorders>
          <w:bottom w:val="single" w:sz="4" w:space="0" w:color="18FFB4" w:themeColor="accent5" w:themeTint="99"/>
        </w:tcBorders>
      </w:tcPr>
    </w:tblStylePr>
    <w:tblStylePr w:type="lastRow">
      <w:rPr>
        <w:b/>
        <w:bCs/>
      </w:rPr>
      <w:tblPr/>
      <w:tcPr>
        <w:tcBorders>
          <w:top w:val="single" w:sz="4" w:space="0" w:color="18FFB4" w:themeColor="accent5" w:themeTint="99"/>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1Light-Accent6">
    <w:name w:val="List Table 1 Light Accent 6"/>
    <w:basedOn w:val="TableNormal"/>
    <w:uiPriority w:val="46"/>
    <w:rsid w:val="00B632CF"/>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rsid w:val="00B632C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632CF"/>
    <w:tblPr>
      <w:tblStyleRowBandSize w:val="1"/>
      <w:tblStyleColBandSize w:val="1"/>
      <w:tblBorders>
        <w:top w:val="single" w:sz="4" w:space="0" w:color="746AF1" w:themeColor="accent1" w:themeTint="99"/>
        <w:bottom w:val="single" w:sz="4" w:space="0" w:color="746AF1" w:themeColor="accent1" w:themeTint="99"/>
        <w:insideH w:val="single" w:sz="4" w:space="0" w:color="746A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2-Accent2">
    <w:name w:val="List Table 2 Accent 2"/>
    <w:basedOn w:val="TableNormal"/>
    <w:uiPriority w:val="47"/>
    <w:rsid w:val="00B632CF"/>
    <w:tblPr>
      <w:tblStyleRowBandSize w:val="1"/>
      <w:tblStyleColBandSize w:val="1"/>
      <w:tblBorders>
        <w:top w:val="single" w:sz="4" w:space="0" w:color="FF0FFC" w:themeColor="accent2" w:themeTint="99"/>
        <w:bottom w:val="single" w:sz="4" w:space="0" w:color="FF0FFC" w:themeColor="accent2" w:themeTint="99"/>
        <w:insideH w:val="single" w:sz="4" w:space="0" w:color="FF0FF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2-Accent3">
    <w:name w:val="List Table 2 Accent 3"/>
    <w:basedOn w:val="TableNormal"/>
    <w:uiPriority w:val="47"/>
    <w:rsid w:val="00B632CF"/>
    <w:tblPr>
      <w:tblStyleRowBandSize w:val="1"/>
      <w:tblStyleColBandSize w:val="1"/>
      <w:tblBorders>
        <w:top w:val="single" w:sz="4" w:space="0" w:color="E77E95" w:themeColor="accent3" w:themeTint="99"/>
        <w:bottom w:val="single" w:sz="4" w:space="0" w:color="E77E95" w:themeColor="accent3" w:themeTint="99"/>
        <w:insideH w:val="single" w:sz="4" w:space="0" w:color="E77E9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2-Accent4">
    <w:name w:val="List Table 2 Accent 4"/>
    <w:basedOn w:val="TableNormal"/>
    <w:uiPriority w:val="47"/>
    <w:rsid w:val="00B632CF"/>
    <w:tblPr>
      <w:tblStyleRowBandSize w:val="1"/>
      <w:tblStyleColBandSize w:val="1"/>
      <w:tblBorders>
        <w:top w:val="single" w:sz="4" w:space="0" w:color="FFC572" w:themeColor="accent4" w:themeTint="99"/>
        <w:bottom w:val="single" w:sz="4" w:space="0" w:color="FFC572" w:themeColor="accent4" w:themeTint="99"/>
        <w:insideH w:val="single" w:sz="4" w:space="0" w:color="FFC57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2-Accent5">
    <w:name w:val="List Table 2 Accent 5"/>
    <w:basedOn w:val="TableNormal"/>
    <w:uiPriority w:val="47"/>
    <w:rsid w:val="00B632CF"/>
    <w:tblPr>
      <w:tblStyleRowBandSize w:val="1"/>
      <w:tblStyleColBandSize w:val="1"/>
      <w:tblBorders>
        <w:top w:val="single" w:sz="4" w:space="0" w:color="18FFB4" w:themeColor="accent5" w:themeTint="99"/>
        <w:bottom w:val="single" w:sz="4" w:space="0" w:color="18FFB4" w:themeColor="accent5" w:themeTint="99"/>
        <w:insideH w:val="single" w:sz="4" w:space="0" w:color="18F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2-Accent6">
    <w:name w:val="List Table 2 Accent 6"/>
    <w:basedOn w:val="TableNormal"/>
    <w:uiPriority w:val="47"/>
    <w:rsid w:val="00B632CF"/>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rsid w:val="00B632C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632CF"/>
    <w:tblPr>
      <w:tblStyleRowBandSize w:val="1"/>
      <w:tblStyleColBandSize w:val="1"/>
      <w:tblBorders>
        <w:top w:val="single" w:sz="4" w:space="0" w:color="2314DC" w:themeColor="accent1"/>
        <w:left w:val="single" w:sz="4" w:space="0" w:color="2314DC" w:themeColor="accent1"/>
        <w:bottom w:val="single" w:sz="4" w:space="0" w:color="2314DC" w:themeColor="accent1"/>
        <w:right w:val="single" w:sz="4" w:space="0" w:color="2314DC" w:themeColor="accent1"/>
      </w:tblBorders>
    </w:tblPr>
    <w:tblStylePr w:type="firstRow">
      <w:rPr>
        <w:b/>
        <w:bCs/>
        <w:color w:val="FFFFFF" w:themeColor="background1"/>
      </w:rPr>
      <w:tblPr/>
      <w:tcPr>
        <w:shd w:val="clear" w:color="auto" w:fill="2314DC" w:themeFill="accent1"/>
      </w:tcPr>
    </w:tblStylePr>
    <w:tblStylePr w:type="lastRow">
      <w:rPr>
        <w:b/>
        <w:bCs/>
      </w:rPr>
      <w:tblPr/>
      <w:tcPr>
        <w:tcBorders>
          <w:top w:val="double" w:sz="4" w:space="0" w:color="2314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4DC" w:themeColor="accent1"/>
          <w:right w:val="single" w:sz="4" w:space="0" w:color="2314DC" w:themeColor="accent1"/>
        </w:tcBorders>
      </w:tcPr>
    </w:tblStylePr>
    <w:tblStylePr w:type="band1Horz">
      <w:tblPr/>
      <w:tcPr>
        <w:tcBorders>
          <w:top w:val="single" w:sz="4" w:space="0" w:color="2314DC" w:themeColor="accent1"/>
          <w:bottom w:val="single" w:sz="4" w:space="0" w:color="2314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4DC" w:themeColor="accent1"/>
          <w:left w:val="nil"/>
        </w:tcBorders>
      </w:tcPr>
    </w:tblStylePr>
    <w:tblStylePr w:type="swCell">
      <w:tblPr/>
      <w:tcPr>
        <w:tcBorders>
          <w:top w:val="double" w:sz="4" w:space="0" w:color="2314DC" w:themeColor="accent1"/>
          <w:right w:val="nil"/>
        </w:tcBorders>
      </w:tcPr>
    </w:tblStylePr>
  </w:style>
  <w:style w:type="table" w:styleId="ListTable3-Accent2">
    <w:name w:val="List Table 3 Accent 2"/>
    <w:basedOn w:val="TableNormal"/>
    <w:uiPriority w:val="48"/>
    <w:rsid w:val="00B632CF"/>
    <w:tblPr>
      <w:tblStyleRowBandSize w:val="1"/>
      <w:tblStyleColBandSize w:val="1"/>
      <w:tblBorders>
        <w:top w:val="single" w:sz="4" w:space="0" w:color="6F006E" w:themeColor="accent2"/>
        <w:left w:val="single" w:sz="4" w:space="0" w:color="6F006E" w:themeColor="accent2"/>
        <w:bottom w:val="single" w:sz="4" w:space="0" w:color="6F006E" w:themeColor="accent2"/>
        <w:right w:val="single" w:sz="4" w:space="0" w:color="6F006E" w:themeColor="accent2"/>
      </w:tblBorders>
    </w:tblPr>
    <w:tblStylePr w:type="firstRow">
      <w:rPr>
        <w:b/>
        <w:bCs/>
        <w:color w:val="FFFFFF" w:themeColor="background1"/>
      </w:rPr>
      <w:tblPr/>
      <w:tcPr>
        <w:shd w:val="clear" w:color="auto" w:fill="6F006E" w:themeFill="accent2"/>
      </w:tcPr>
    </w:tblStylePr>
    <w:tblStylePr w:type="lastRow">
      <w:rPr>
        <w:b/>
        <w:bCs/>
      </w:rPr>
      <w:tblPr/>
      <w:tcPr>
        <w:tcBorders>
          <w:top w:val="double" w:sz="4" w:space="0" w:color="6F006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006E" w:themeColor="accent2"/>
          <w:right w:val="single" w:sz="4" w:space="0" w:color="6F006E" w:themeColor="accent2"/>
        </w:tcBorders>
      </w:tcPr>
    </w:tblStylePr>
    <w:tblStylePr w:type="band1Horz">
      <w:tblPr/>
      <w:tcPr>
        <w:tcBorders>
          <w:top w:val="single" w:sz="4" w:space="0" w:color="6F006E" w:themeColor="accent2"/>
          <w:bottom w:val="single" w:sz="4" w:space="0" w:color="6F006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006E" w:themeColor="accent2"/>
          <w:left w:val="nil"/>
        </w:tcBorders>
      </w:tcPr>
    </w:tblStylePr>
    <w:tblStylePr w:type="swCell">
      <w:tblPr/>
      <w:tcPr>
        <w:tcBorders>
          <w:top w:val="double" w:sz="4" w:space="0" w:color="6F006E" w:themeColor="accent2"/>
          <w:right w:val="nil"/>
        </w:tcBorders>
      </w:tcPr>
    </w:tblStylePr>
  </w:style>
  <w:style w:type="table" w:styleId="ListTable3-Accent3">
    <w:name w:val="List Table 3 Accent 3"/>
    <w:basedOn w:val="TableNormal"/>
    <w:uiPriority w:val="48"/>
    <w:rsid w:val="00B632CF"/>
    <w:tblPr>
      <w:tblStyleRowBandSize w:val="1"/>
      <w:tblStyleColBandSize w:val="1"/>
      <w:tblBorders>
        <w:top w:val="single" w:sz="4" w:space="0" w:color="D72850" w:themeColor="accent3"/>
        <w:left w:val="single" w:sz="4" w:space="0" w:color="D72850" w:themeColor="accent3"/>
        <w:bottom w:val="single" w:sz="4" w:space="0" w:color="D72850" w:themeColor="accent3"/>
        <w:right w:val="single" w:sz="4" w:space="0" w:color="D72850" w:themeColor="accent3"/>
      </w:tblBorders>
    </w:tblPr>
    <w:tblStylePr w:type="firstRow">
      <w:rPr>
        <w:b/>
        <w:bCs/>
        <w:color w:val="FFFFFF" w:themeColor="background1"/>
      </w:rPr>
      <w:tblPr/>
      <w:tcPr>
        <w:shd w:val="clear" w:color="auto" w:fill="D72850" w:themeFill="accent3"/>
      </w:tcPr>
    </w:tblStylePr>
    <w:tblStylePr w:type="lastRow">
      <w:rPr>
        <w:b/>
        <w:bCs/>
      </w:rPr>
      <w:tblPr/>
      <w:tcPr>
        <w:tcBorders>
          <w:top w:val="double" w:sz="4" w:space="0" w:color="D728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2850" w:themeColor="accent3"/>
          <w:right w:val="single" w:sz="4" w:space="0" w:color="D72850" w:themeColor="accent3"/>
        </w:tcBorders>
      </w:tcPr>
    </w:tblStylePr>
    <w:tblStylePr w:type="band1Horz">
      <w:tblPr/>
      <w:tcPr>
        <w:tcBorders>
          <w:top w:val="single" w:sz="4" w:space="0" w:color="D72850" w:themeColor="accent3"/>
          <w:bottom w:val="single" w:sz="4" w:space="0" w:color="D728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2850" w:themeColor="accent3"/>
          <w:left w:val="nil"/>
        </w:tcBorders>
      </w:tcPr>
    </w:tblStylePr>
    <w:tblStylePr w:type="swCell">
      <w:tblPr/>
      <w:tcPr>
        <w:tcBorders>
          <w:top w:val="double" w:sz="4" w:space="0" w:color="D72850" w:themeColor="accent3"/>
          <w:right w:val="nil"/>
        </w:tcBorders>
      </w:tcPr>
    </w:tblStylePr>
  </w:style>
  <w:style w:type="table" w:styleId="ListTable3-Accent4">
    <w:name w:val="List Table 3 Accent 4"/>
    <w:basedOn w:val="TableNormal"/>
    <w:uiPriority w:val="48"/>
    <w:rsid w:val="00B632CF"/>
    <w:tblPr>
      <w:tblStyleRowBandSize w:val="1"/>
      <w:tblStyleColBandSize w:val="1"/>
      <w:tblBorders>
        <w:top w:val="single" w:sz="4" w:space="0" w:color="FFA014" w:themeColor="accent4"/>
        <w:left w:val="single" w:sz="4" w:space="0" w:color="FFA014" w:themeColor="accent4"/>
        <w:bottom w:val="single" w:sz="4" w:space="0" w:color="FFA014" w:themeColor="accent4"/>
        <w:right w:val="single" w:sz="4" w:space="0" w:color="FFA014" w:themeColor="accent4"/>
      </w:tblBorders>
    </w:tblPr>
    <w:tblStylePr w:type="firstRow">
      <w:rPr>
        <w:b/>
        <w:bCs/>
        <w:color w:val="FFFFFF" w:themeColor="background1"/>
      </w:rPr>
      <w:tblPr/>
      <w:tcPr>
        <w:shd w:val="clear" w:color="auto" w:fill="FFA014" w:themeFill="accent4"/>
      </w:tcPr>
    </w:tblStylePr>
    <w:tblStylePr w:type="lastRow">
      <w:rPr>
        <w:b/>
        <w:bCs/>
      </w:rPr>
      <w:tblPr/>
      <w:tcPr>
        <w:tcBorders>
          <w:top w:val="double" w:sz="4" w:space="0" w:color="FFA0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014" w:themeColor="accent4"/>
          <w:right w:val="single" w:sz="4" w:space="0" w:color="FFA014" w:themeColor="accent4"/>
        </w:tcBorders>
      </w:tcPr>
    </w:tblStylePr>
    <w:tblStylePr w:type="band1Horz">
      <w:tblPr/>
      <w:tcPr>
        <w:tcBorders>
          <w:top w:val="single" w:sz="4" w:space="0" w:color="FFA014" w:themeColor="accent4"/>
          <w:bottom w:val="single" w:sz="4" w:space="0" w:color="FFA0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014" w:themeColor="accent4"/>
          <w:left w:val="nil"/>
        </w:tcBorders>
      </w:tcPr>
    </w:tblStylePr>
    <w:tblStylePr w:type="swCell">
      <w:tblPr/>
      <w:tcPr>
        <w:tcBorders>
          <w:top w:val="double" w:sz="4" w:space="0" w:color="FFA014" w:themeColor="accent4"/>
          <w:right w:val="nil"/>
        </w:tcBorders>
      </w:tcPr>
    </w:tblStylePr>
  </w:style>
  <w:style w:type="table" w:styleId="ListTable3-Accent5">
    <w:name w:val="List Table 3 Accent 5"/>
    <w:basedOn w:val="TableNormal"/>
    <w:uiPriority w:val="48"/>
    <w:rsid w:val="00B632CF"/>
    <w:tblPr>
      <w:tblStyleRowBandSize w:val="1"/>
      <w:tblStyleColBandSize w:val="1"/>
      <w:tblBorders>
        <w:top w:val="single" w:sz="4" w:space="0" w:color="007D55" w:themeColor="accent5"/>
        <w:left w:val="single" w:sz="4" w:space="0" w:color="007D55" w:themeColor="accent5"/>
        <w:bottom w:val="single" w:sz="4" w:space="0" w:color="007D55" w:themeColor="accent5"/>
        <w:right w:val="single" w:sz="4" w:space="0" w:color="007D55" w:themeColor="accent5"/>
      </w:tblBorders>
    </w:tblPr>
    <w:tblStylePr w:type="firstRow">
      <w:rPr>
        <w:b/>
        <w:bCs/>
        <w:color w:val="FFFFFF" w:themeColor="background1"/>
      </w:rPr>
      <w:tblPr/>
      <w:tcPr>
        <w:shd w:val="clear" w:color="auto" w:fill="007D55" w:themeFill="accent5"/>
      </w:tcPr>
    </w:tblStylePr>
    <w:tblStylePr w:type="lastRow">
      <w:rPr>
        <w:b/>
        <w:bCs/>
      </w:rPr>
      <w:tblPr/>
      <w:tcPr>
        <w:tcBorders>
          <w:top w:val="double" w:sz="4" w:space="0" w:color="007D5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D55" w:themeColor="accent5"/>
          <w:right w:val="single" w:sz="4" w:space="0" w:color="007D55" w:themeColor="accent5"/>
        </w:tcBorders>
      </w:tcPr>
    </w:tblStylePr>
    <w:tblStylePr w:type="band1Horz">
      <w:tblPr/>
      <w:tcPr>
        <w:tcBorders>
          <w:top w:val="single" w:sz="4" w:space="0" w:color="007D55" w:themeColor="accent5"/>
          <w:bottom w:val="single" w:sz="4" w:space="0" w:color="007D5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D55" w:themeColor="accent5"/>
          <w:left w:val="nil"/>
        </w:tcBorders>
      </w:tcPr>
    </w:tblStylePr>
    <w:tblStylePr w:type="swCell">
      <w:tblPr/>
      <w:tcPr>
        <w:tcBorders>
          <w:top w:val="double" w:sz="4" w:space="0" w:color="007D55" w:themeColor="accent5"/>
          <w:right w:val="nil"/>
        </w:tcBorders>
      </w:tcPr>
    </w:tblStylePr>
  </w:style>
  <w:style w:type="table" w:styleId="ListTable3-Accent6">
    <w:name w:val="List Table 3 Accent 6"/>
    <w:basedOn w:val="TableNormal"/>
    <w:uiPriority w:val="48"/>
    <w:rsid w:val="00B632CF"/>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rsid w:val="00B632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632CF"/>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tblBorders>
    </w:tblPr>
    <w:tblStylePr w:type="firstRow">
      <w:rPr>
        <w:b/>
        <w:bCs/>
        <w:color w:val="FFFFFF" w:themeColor="background1"/>
      </w:rPr>
      <w:tblPr/>
      <w:tcPr>
        <w:tcBorders>
          <w:top w:val="single" w:sz="4" w:space="0" w:color="2314DC" w:themeColor="accent1"/>
          <w:left w:val="single" w:sz="4" w:space="0" w:color="2314DC" w:themeColor="accent1"/>
          <w:bottom w:val="single" w:sz="4" w:space="0" w:color="2314DC" w:themeColor="accent1"/>
          <w:right w:val="single" w:sz="4" w:space="0" w:color="2314DC" w:themeColor="accent1"/>
          <w:insideH w:val="nil"/>
        </w:tcBorders>
        <w:shd w:val="clear" w:color="auto" w:fill="2314DC" w:themeFill="accent1"/>
      </w:tcPr>
    </w:tblStylePr>
    <w:tblStylePr w:type="lastRow">
      <w:rPr>
        <w:b/>
        <w:bCs/>
      </w:rPr>
      <w:tblPr/>
      <w:tcPr>
        <w:tcBorders>
          <w:top w:val="double" w:sz="4" w:space="0" w:color="746AF1" w:themeColor="accent1" w:themeTint="99"/>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4-Accent2">
    <w:name w:val="List Table 4 Accent 2"/>
    <w:basedOn w:val="TableNormal"/>
    <w:uiPriority w:val="49"/>
    <w:rsid w:val="00B632CF"/>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tblBorders>
    </w:tblPr>
    <w:tblStylePr w:type="firstRow">
      <w:rPr>
        <w:b/>
        <w:bCs/>
        <w:color w:val="FFFFFF" w:themeColor="background1"/>
      </w:rPr>
      <w:tblPr/>
      <w:tcPr>
        <w:tcBorders>
          <w:top w:val="single" w:sz="4" w:space="0" w:color="6F006E" w:themeColor="accent2"/>
          <w:left w:val="single" w:sz="4" w:space="0" w:color="6F006E" w:themeColor="accent2"/>
          <w:bottom w:val="single" w:sz="4" w:space="0" w:color="6F006E" w:themeColor="accent2"/>
          <w:right w:val="single" w:sz="4" w:space="0" w:color="6F006E" w:themeColor="accent2"/>
          <w:insideH w:val="nil"/>
        </w:tcBorders>
        <w:shd w:val="clear" w:color="auto" w:fill="6F006E" w:themeFill="accent2"/>
      </w:tcPr>
    </w:tblStylePr>
    <w:tblStylePr w:type="lastRow">
      <w:rPr>
        <w:b/>
        <w:bCs/>
      </w:rPr>
      <w:tblPr/>
      <w:tcPr>
        <w:tcBorders>
          <w:top w:val="double" w:sz="4" w:space="0" w:color="FF0FFC" w:themeColor="accent2" w:themeTint="99"/>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4-Accent3">
    <w:name w:val="List Table 4 Accent 3"/>
    <w:basedOn w:val="TableNormal"/>
    <w:uiPriority w:val="49"/>
    <w:rsid w:val="00B632CF"/>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tblBorders>
    </w:tblPr>
    <w:tblStylePr w:type="firstRow">
      <w:rPr>
        <w:b/>
        <w:bCs/>
        <w:color w:val="FFFFFF" w:themeColor="background1"/>
      </w:rPr>
      <w:tblPr/>
      <w:tcPr>
        <w:tcBorders>
          <w:top w:val="single" w:sz="4" w:space="0" w:color="D72850" w:themeColor="accent3"/>
          <w:left w:val="single" w:sz="4" w:space="0" w:color="D72850" w:themeColor="accent3"/>
          <w:bottom w:val="single" w:sz="4" w:space="0" w:color="D72850" w:themeColor="accent3"/>
          <w:right w:val="single" w:sz="4" w:space="0" w:color="D72850" w:themeColor="accent3"/>
          <w:insideH w:val="nil"/>
        </w:tcBorders>
        <w:shd w:val="clear" w:color="auto" w:fill="D72850" w:themeFill="accent3"/>
      </w:tcPr>
    </w:tblStylePr>
    <w:tblStylePr w:type="lastRow">
      <w:rPr>
        <w:b/>
        <w:bCs/>
      </w:rPr>
      <w:tblPr/>
      <w:tcPr>
        <w:tcBorders>
          <w:top w:val="double" w:sz="4" w:space="0" w:color="E77E95" w:themeColor="accent3" w:themeTint="99"/>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4-Accent4">
    <w:name w:val="List Table 4 Accent 4"/>
    <w:basedOn w:val="TableNormal"/>
    <w:uiPriority w:val="49"/>
    <w:rsid w:val="00B632CF"/>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tblBorders>
    </w:tblPr>
    <w:tblStylePr w:type="firstRow">
      <w:rPr>
        <w:b/>
        <w:bCs/>
        <w:color w:val="FFFFFF" w:themeColor="background1"/>
      </w:rPr>
      <w:tblPr/>
      <w:tcPr>
        <w:tcBorders>
          <w:top w:val="single" w:sz="4" w:space="0" w:color="FFA014" w:themeColor="accent4"/>
          <w:left w:val="single" w:sz="4" w:space="0" w:color="FFA014" w:themeColor="accent4"/>
          <w:bottom w:val="single" w:sz="4" w:space="0" w:color="FFA014" w:themeColor="accent4"/>
          <w:right w:val="single" w:sz="4" w:space="0" w:color="FFA014" w:themeColor="accent4"/>
          <w:insideH w:val="nil"/>
        </w:tcBorders>
        <w:shd w:val="clear" w:color="auto" w:fill="FFA014" w:themeFill="accent4"/>
      </w:tcPr>
    </w:tblStylePr>
    <w:tblStylePr w:type="lastRow">
      <w:rPr>
        <w:b/>
        <w:bCs/>
      </w:rPr>
      <w:tblPr/>
      <w:tcPr>
        <w:tcBorders>
          <w:top w:val="double" w:sz="4" w:space="0" w:color="FFC572" w:themeColor="accent4" w:themeTint="99"/>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4-Accent5">
    <w:name w:val="List Table 4 Accent 5"/>
    <w:basedOn w:val="TableNormal"/>
    <w:uiPriority w:val="49"/>
    <w:rsid w:val="00B632CF"/>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tblBorders>
    </w:tblPr>
    <w:tblStylePr w:type="firstRow">
      <w:rPr>
        <w:b/>
        <w:bCs/>
        <w:color w:val="FFFFFF" w:themeColor="background1"/>
      </w:rPr>
      <w:tblPr/>
      <w:tcPr>
        <w:tcBorders>
          <w:top w:val="single" w:sz="4" w:space="0" w:color="007D55" w:themeColor="accent5"/>
          <w:left w:val="single" w:sz="4" w:space="0" w:color="007D55" w:themeColor="accent5"/>
          <w:bottom w:val="single" w:sz="4" w:space="0" w:color="007D55" w:themeColor="accent5"/>
          <w:right w:val="single" w:sz="4" w:space="0" w:color="007D55" w:themeColor="accent5"/>
          <w:insideH w:val="nil"/>
        </w:tcBorders>
        <w:shd w:val="clear" w:color="auto" w:fill="007D55" w:themeFill="accent5"/>
      </w:tcPr>
    </w:tblStylePr>
    <w:tblStylePr w:type="lastRow">
      <w:rPr>
        <w:b/>
        <w:bCs/>
      </w:rPr>
      <w:tblPr/>
      <w:tcPr>
        <w:tcBorders>
          <w:top w:val="double" w:sz="4" w:space="0" w:color="18FFB4" w:themeColor="accent5" w:themeTint="99"/>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4-Accent6">
    <w:name w:val="List Table 4 Accent 6"/>
    <w:basedOn w:val="TableNormal"/>
    <w:uiPriority w:val="49"/>
    <w:rsid w:val="00B632C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rsid w:val="00B632C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632CF"/>
    <w:rPr>
      <w:color w:val="FFFFFF" w:themeColor="background1"/>
    </w:rPr>
    <w:tblPr>
      <w:tblStyleRowBandSize w:val="1"/>
      <w:tblStyleColBandSize w:val="1"/>
      <w:tblBorders>
        <w:top w:val="single" w:sz="24" w:space="0" w:color="2314DC" w:themeColor="accent1"/>
        <w:left w:val="single" w:sz="24" w:space="0" w:color="2314DC" w:themeColor="accent1"/>
        <w:bottom w:val="single" w:sz="24" w:space="0" w:color="2314DC" w:themeColor="accent1"/>
        <w:right w:val="single" w:sz="24" w:space="0" w:color="2314DC" w:themeColor="accent1"/>
      </w:tblBorders>
    </w:tblPr>
    <w:tcPr>
      <w:shd w:val="clear" w:color="auto" w:fill="2314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632CF"/>
    <w:rPr>
      <w:color w:val="FFFFFF" w:themeColor="background1"/>
    </w:rPr>
    <w:tblPr>
      <w:tblStyleRowBandSize w:val="1"/>
      <w:tblStyleColBandSize w:val="1"/>
      <w:tblBorders>
        <w:top w:val="single" w:sz="24" w:space="0" w:color="6F006E" w:themeColor="accent2"/>
        <w:left w:val="single" w:sz="24" w:space="0" w:color="6F006E" w:themeColor="accent2"/>
        <w:bottom w:val="single" w:sz="24" w:space="0" w:color="6F006E" w:themeColor="accent2"/>
        <w:right w:val="single" w:sz="24" w:space="0" w:color="6F006E" w:themeColor="accent2"/>
      </w:tblBorders>
    </w:tblPr>
    <w:tcPr>
      <w:shd w:val="clear" w:color="auto" w:fill="6F006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632CF"/>
    <w:rPr>
      <w:color w:val="FFFFFF" w:themeColor="background1"/>
    </w:rPr>
    <w:tblPr>
      <w:tblStyleRowBandSize w:val="1"/>
      <w:tblStyleColBandSize w:val="1"/>
      <w:tblBorders>
        <w:top w:val="single" w:sz="24" w:space="0" w:color="D72850" w:themeColor="accent3"/>
        <w:left w:val="single" w:sz="24" w:space="0" w:color="D72850" w:themeColor="accent3"/>
        <w:bottom w:val="single" w:sz="24" w:space="0" w:color="D72850" w:themeColor="accent3"/>
        <w:right w:val="single" w:sz="24" w:space="0" w:color="D72850" w:themeColor="accent3"/>
      </w:tblBorders>
    </w:tblPr>
    <w:tcPr>
      <w:shd w:val="clear" w:color="auto" w:fill="D7285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632CF"/>
    <w:rPr>
      <w:color w:val="FFFFFF" w:themeColor="background1"/>
    </w:rPr>
    <w:tblPr>
      <w:tblStyleRowBandSize w:val="1"/>
      <w:tblStyleColBandSize w:val="1"/>
      <w:tblBorders>
        <w:top w:val="single" w:sz="24" w:space="0" w:color="FFA014" w:themeColor="accent4"/>
        <w:left w:val="single" w:sz="24" w:space="0" w:color="FFA014" w:themeColor="accent4"/>
        <w:bottom w:val="single" w:sz="24" w:space="0" w:color="FFA014" w:themeColor="accent4"/>
        <w:right w:val="single" w:sz="24" w:space="0" w:color="FFA014" w:themeColor="accent4"/>
      </w:tblBorders>
    </w:tblPr>
    <w:tcPr>
      <w:shd w:val="clear" w:color="auto" w:fill="FFA0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632CF"/>
    <w:rPr>
      <w:color w:val="FFFFFF" w:themeColor="background1"/>
    </w:rPr>
    <w:tblPr>
      <w:tblStyleRowBandSize w:val="1"/>
      <w:tblStyleColBandSize w:val="1"/>
      <w:tblBorders>
        <w:top w:val="single" w:sz="24" w:space="0" w:color="007D55" w:themeColor="accent5"/>
        <w:left w:val="single" w:sz="24" w:space="0" w:color="007D55" w:themeColor="accent5"/>
        <w:bottom w:val="single" w:sz="24" w:space="0" w:color="007D55" w:themeColor="accent5"/>
        <w:right w:val="single" w:sz="24" w:space="0" w:color="007D55" w:themeColor="accent5"/>
      </w:tblBorders>
    </w:tblPr>
    <w:tcPr>
      <w:shd w:val="clear" w:color="auto" w:fill="007D5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632CF"/>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632C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632CF"/>
    <w:rPr>
      <w:color w:val="1A0FA4" w:themeColor="accent1" w:themeShade="BF"/>
    </w:rPr>
    <w:tblPr>
      <w:tblStyleRowBandSize w:val="1"/>
      <w:tblStyleColBandSize w:val="1"/>
      <w:tblBorders>
        <w:top w:val="single" w:sz="4" w:space="0" w:color="2314DC" w:themeColor="accent1"/>
        <w:bottom w:val="single" w:sz="4" w:space="0" w:color="2314DC" w:themeColor="accent1"/>
      </w:tblBorders>
    </w:tblPr>
    <w:tblStylePr w:type="firstRow">
      <w:rPr>
        <w:b/>
        <w:bCs/>
      </w:rPr>
      <w:tblPr/>
      <w:tcPr>
        <w:tcBorders>
          <w:bottom w:val="single" w:sz="4" w:space="0" w:color="2314DC" w:themeColor="accent1"/>
        </w:tcBorders>
      </w:tcPr>
    </w:tblStylePr>
    <w:tblStylePr w:type="lastRow">
      <w:rPr>
        <w:b/>
        <w:bCs/>
      </w:rPr>
      <w:tblPr/>
      <w:tcPr>
        <w:tcBorders>
          <w:top w:val="double" w:sz="4" w:space="0" w:color="2314DC" w:themeColor="accent1"/>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6Colorful-Accent2">
    <w:name w:val="List Table 6 Colorful Accent 2"/>
    <w:basedOn w:val="TableNormal"/>
    <w:uiPriority w:val="51"/>
    <w:rsid w:val="00B632CF"/>
    <w:rPr>
      <w:color w:val="530052" w:themeColor="accent2" w:themeShade="BF"/>
    </w:rPr>
    <w:tblPr>
      <w:tblStyleRowBandSize w:val="1"/>
      <w:tblStyleColBandSize w:val="1"/>
      <w:tblBorders>
        <w:top w:val="single" w:sz="4" w:space="0" w:color="6F006E" w:themeColor="accent2"/>
        <w:bottom w:val="single" w:sz="4" w:space="0" w:color="6F006E" w:themeColor="accent2"/>
      </w:tblBorders>
    </w:tblPr>
    <w:tblStylePr w:type="firstRow">
      <w:rPr>
        <w:b/>
        <w:bCs/>
      </w:rPr>
      <w:tblPr/>
      <w:tcPr>
        <w:tcBorders>
          <w:bottom w:val="single" w:sz="4" w:space="0" w:color="6F006E" w:themeColor="accent2"/>
        </w:tcBorders>
      </w:tcPr>
    </w:tblStylePr>
    <w:tblStylePr w:type="lastRow">
      <w:rPr>
        <w:b/>
        <w:bCs/>
      </w:rPr>
      <w:tblPr/>
      <w:tcPr>
        <w:tcBorders>
          <w:top w:val="double" w:sz="4" w:space="0" w:color="6F006E" w:themeColor="accent2"/>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6Colorful-Accent3">
    <w:name w:val="List Table 6 Colorful Accent 3"/>
    <w:basedOn w:val="TableNormal"/>
    <w:uiPriority w:val="51"/>
    <w:rsid w:val="00B632CF"/>
    <w:rPr>
      <w:color w:val="A11E3B" w:themeColor="accent3" w:themeShade="BF"/>
    </w:rPr>
    <w:tblPr>
      <w:tblStyleRowBandSize w:val="1"/>
      <w:tblStyleColBandSize w:val="1"/>
      <w:tblBorders>
        <w:top w:val="single" w:sz="4" w:space="0" w:color="D72850" w:themeColor="accent3"/>
        <w:bottom w:val="single" w:sz="4" w:space="0" w:color="D72850" w:themeColor="accent3"/>
      </w:tblBorders>
    </w:tblPr>
    <w:tblStylePr w:type="firstRow">
      <w:rPr>
        <w:b/>
        <w:bCs/>
      </w:rPr>
      <w:tblPr/>
      <w:tcPr>
        <w:tcBorders>
          <w:bottom w:val="single" w:sz="4" w:space="0" w:color="D72850" w:themeColor="accent3"/>
        </w:tcBorders>
      </w:tcPr>
    </w:tblStylePr>
    <w:tblStylePr w:type="lastRow">
      <w:rPr>
        <w:b/>
        <w:bCs/>
      </w:rPr>
      <w:tblPr/>
      <w:tcPr>
        <w:tcBorders>
          <w:top w:val="double" w:sz="4" w:space="0" w:color="D72850" w:themeColor="accent3"/>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6Colorful-Accent4">
    <w:name w:val="List Table 6 Colorful Accent 4"/>
    <w:basedOn w:val="TableNormal"/>
    <w:uiPriority w:val="51"/>
    <w:rsid w:val="00B632CF"/>
    <w:rPr>
      <w:color w:val="CD7900" w:themeColor="accent4" w:themeShade="BF"/>
    </w:rPr>
    <w:tblPr>
      <w:tblStyleRowBandSize w:val="1"/>
      <w:tblStyleColBandSize w:val="1"/>
      <w:tblBorders>
        <w:top w:val="single" w:sz="4" w:space="0" w:color="FFA014" w:themeColor="accent4"/>
        <w:bottom w:val="single" w:sz="4" w:space="0" w:color="FFA014" w:themeColor="accent4"/>
      </w:tblBorders>
    </w:tblPr>
    <w:tblStylePr w:type="firstRow">
      <w:rPr>
        <w:b/>
        <w:bCs/>
      </w:rPr>
      <w:tblPr/>
      <w:tcPr>
        <w:tcBorders>
          <w:bottom w:val="single" w:sz="4" w:space="0" w:color="FFA014" w:themeColor="accent4"/>
        </w:tcBorders>
      </w:tcPr>
    </w:tblStylePr>
    <w:tblStylePr w:type="lastRow">
      <w:rPr>
        <w:b/>
        <w:bCs/>
      </w:rPr>
      <w:tblPr/>
      <w:tcPr>
        <w:tcBorders>
          <w:top w:val="double" w:sz="4" w:space="0" w:color="FFA014" w:themeColor="accent4"/>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6Colorful-Accent5">
    <w:name w:val="List Table 6 Colorful Accent 5"/>
    <w:basedOn w:val="TableNormal"/>
    <w:uiPriority w:val="51"/>
    <w:rsid w:val="00B632CF"/>
    <w:rPr>
      <w:color w:val="005D3F" w:themeColor="accent5" w:themeShade="BF"/>
    </w:rPr>
    <w:tblPr>
      <w:tblStyleRowBandSize w:val="1"/>
      <w:tblStyleColBandSize w:val="1"/>
      <w:tblBorders>
        <w:top w:val="single" w:sz="4" w:space="0" w:color="007D55" w:themeColor="accent5"/>
        <w:bottom w:val="single" w:sz="4" w:space="0" w:color="007D55" w:themeColor="accent5"/>
      </w:tblBorders>
    </w:tblPr>
    <w:tblStylePr w:type="firstRow">
      <w:rPr>
        <w:b/>
        <w:bCs/>
      </w:rPr>
      <w:tblPr/>
      <w:tcPr>
        <w:tcBorders>
          <w:bottom w:val="single" w:sz="4" w:space="0" w:color="007D55" w:themeColor="accent5"/>
        </w:tcBorders>
      </w:tcPr>
    </w:tblStylePr>
    <w:tblStylePr w:type="lastRow">
      <w:rPr>
        <w:b/>
        <w:bCs/>
      </w:rPr>
      <w:tblPr/>
      <w:tcPr>
        <w:tcBorders>
          <w:top w:val="double" w:sz="4" w:space="0" w:color="007D55" w:themeColor="accent5"/>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6Colorful-Accent6">
    <w:name w:val="List Table 6 Colorful Accent 6"/>
    <w:basedOn w:val="TableNormal"/>
    <w:uiPriority w:val="51"/>
    <w:rsid w:val="00B632CF"/>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rsid w:val="00B632C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632CF"/>
    <w:rPr>
      <w:color w:val="1A0F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4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4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4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4DC" w:themeColor="accent1"/>
        </w:tcBorders>
        <w:shd w:val="clear" w:color="auto" w:fill="FFFFFF" w:themeFill="background1"/>
      </w:tcPr>
    </w:tblStylePr>
    <w:tblStylePr w:type="band1Vert">
      <w:tblPr/>
      <w:tcPr>
        <w:shd w:val="clear" w:color="auto" w:fill="D0CDFA" w:themeFill="accent1" w:themeFillTint="33"/>
      </w:tcPr>
    </w:tblStylePr>
    <w:tblStylePr w:type="band1Horz">
      <w:tblPr/>
      <w:tcPr>
        <w:shd w:val="clear" w:color="auto" w:fill="D0CD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632CF"/>
    <w:rPr>
      <w:color w:val="53005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006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006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006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006E" w:themeColor="accent2"/>
        </w:tcBorders>
        <w:shd w:val="clear" w:color="auto" w:fill="FFFFFF" w:themeFill="background1"/>
      </w:tcPr>
    </w:tblStylePr>
    <w:tblStylePr w:type="band1Vert">
      <w:tblPr/>
      <w:tcPr>
        <w:shd w:val="clear" w:color="auto" w:fill="FFAFFE" w:themeFill="accent2" w:themeFillTint="33"/>
      </w:tcPr>
    </w:tblStylePr>
    <w:tblStylePr w:type="band1Horz">
      <w:tblPr/>
      <w:tcPr>
        <w:shd w:val="clear" w:color="auto" w:fill="FFAFF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632CF"/>
    <w:rPr>
      <w:color w:val="A11E3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7285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285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285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72850" w:themeColor="accent3"/>
        </w:tcBorders>
        <w:shd w:val="clear" w:color="auto" w:fill="FFFFFF" w:themeFill="background1"/>
      </w:tcPr>
    </w:tblStylePr>
    <w:tblStylePr w:type="band1Vert">
      <w:tblPr/>
      <w:tcPr>
        <w:shd w:val="clear" w:color="auto" w:fill="F7D4DB" w:themeFill="accent3" w:themeFillTint="33"/>
      </w:tcPr>
    </w:tblStylePr>
    <w:tblStylePr w:type="band1Horz">
      <w:tblPr/>
      <w:tcPr>
        <w:shd w:val="clear" w:color="auto" w:fill="F7D4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632CF"/>
    <w:rPr>
      <w:color w:val="CD79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0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0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0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014" w:themeColor="accent4"/>
        </w:tcBorders>
        <w:shd w:val="clear" w:color="auto" w:fill="FFFFFF" w:themeFill="background1"/>
      </w:tcPr>
    </w:tblStylePr>
    <w:tblStylePr w:type="band1Vert">
      <w:tblPr/>
      <w:tcPr>
        <w:shd w:val="clear" w:color="auto" w:fill="FFEBD0" w:themeFill="accent4" w:themeFillTint="33"/>
      </w:tcPr>
    </w:tblStylePr>
    <w:tblStylePr w:type="band1Horz">
      <w:tblPr/>
      <w:tcPr>
        <w:shd w:val="clear" w:color="auto" w:fill="FFEB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632CF"/>
    <w:rPr>
      <w:color w:val="005D3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D5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D5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D5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D55" w:themeColor="accent5"/>
        </w:tcBorders>
        <w:shd w:val="clear" w:color="auto" w:fill="FFFFFF" w:themeFill="background1"/>
      </w:tcPr>
    </w:tblStylePr>
    <w:tblStylePr w:type="band1Vert">
      <w:tblPr/>
      <w:tcPr>
        <w:shd w:val="clear" w:color="auto" w:fill="B2FFE6" w:themeFill="accent5" w:themeFillTint="33"/>
      </w:tcPr>
    </w:tblStylePr>
    <w:tblStylePr w:type="band1Horz">
      <w:tblPr/>
      <w:tcPr>
        <w:shd w:val="clear" w:color="auto" w:fill="B2FF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632CF"/>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632CF"/>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cs="Jacobs Chronos"/>
      <w:sz w:val="20"/>
      <w:szCs w:val="20"/>
    </w:rPr>
  </w:style>
  <w:style w:type="character" w:customStyle="1" w:styleId="MacroTextChar">
    <w:name w:val="Macro Text Char"/>
    <w:basedOn w:val="DefaultParagraphFont"/>
    <w:link w:val="MacroText"/>
    <w:uiPriority w:val="99"/>
    <w:semiHidden/>
    <w:rsid w:val="00B632CF"/>
    <w:rPr>
      <w:rFonts w:ascii="Consolas" w:hAnsi="Consolas" w:cs="Jacobs Chronos"/>
      <w:sz w:val="20"/>
      <w:szCs w:val="20"/>
    </w:rPr>
  </w:style>
  <w:style w:type="table" w:styleId="MediumGrid1">
    <w:name w:val="Medium Grid 1"/>
    <w:basedOn w:val="TableNormal"/>
    <w:uiPriority w:val="67"/>
    <w:semiHidden/>
    <w:unhideWhenUsed/>
    <w:rsid w:val="00B632C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2">
    <w:name w:val="Medium Grid 1 Accent 2"/>
    <w:basedOn w:val="TableNormal"/>
    <w:uiPriority w:val="67"/>
    <w:semiHidden/>
    <w:unhideWhenUsed/>
    <w:rsid w:val="00B632CF"/>
    <w:tblPr>
      <w:tblStyleRowBandSize w:val="1"/>
      <w:tblStyleColBandSize w:val="1"/>
      <w:tblBorders>
        <w:top w:val="single" w:sz="8"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single" w:sz="8" w:space="0" w:color="D300D0" w:themeColor="accent2" w:themeTint="BF"/>
        <w:insideV w:val="single" w:sz="8" w:space="0" w:color="D300D0" w:themeColor="accent2" w:themeTint="BF"/>
      </w:tblBorders>
    </w:tblPr>
    <w:tcPr>
      <w:shd w:val="clear" w:color="auto" w:fill="FF9CFD" w:themeFill="accent2" w:themeFillTint="3F"/>
    </w:tcPr>
    <w:tblStylePr w:type="firstRow">
      <w:rPr>
        <w:b/>
        <w:bCs/>
      </w:rPr>
    </w:tblStylePr>
    <w:tblStylePr w:type="lastRow">
      <w:rPr>
        <w:b/>
        <w:bCs/>
      </w:rPr>
      <w:tblPr/>
      <w:tcPr>
        <w:tcBorders>
          <w:top w:val="single" w:sz="18" w:space="0" w:color="D300D0" w:themeColor="accent2" w:themeTint="BF"/>
        </w:tcBorders>
      </w:tcPr>
    </w:tblStylePr>
    <w:tblStylePr w:type="firstCol">
      <w:rPr>
        <w:b/>
        <w:bCs/>
      </w:rPr>
    </w:tblStylePr>
    <w:tblStylePr w:type="lastCol">
      <w:rPr>
        <w:b/>
        <w:bCs/>
      </w:rPr>
    </w:tblStylePr>
    <w:tblStylePr w:type="band1Vert">
      <w:tblPr/>
      <w:tcPr>
        <w:shd w:val="clear" w:color="auto" w:fill="FF38FC" w:themeFill="accent2" w:themeFillTint="7F"/>
      </w:tcPr>
    </w:tblStylePr>
    <w:tblStylePr w:type="band1Horz">
      <w:tblPr/>
      <w:tcPr>
        <w:shd w:val="clear" w:color="auto" w:fill="FF38FC" w:themeFill="accent2" w:themeFillTint="7F"/>
      </w:tcPr>
    </w:tblStylePr>
  </w:style>
  <w:style w:type="table" w:styleId="MediumGrid1-Accent3">
    <w:name w:val="Medium Grid 1 Accent 3"/>
    <w:basedOn w:val="TableNormal"/>
    <w:uiPriority w:val="67"/>
    <w:semiHidden/>
    <w:unhideWhenUsed/>
    <w:rsid w:val="00B632CF"/>
    <w:tblPr>
      <w:tblStyleRowBandSize w:val="1"/>
      <w:tblStyleColBandSize w:val="1"/>
      <w:tblBorders>
        <w:top w:val="single" w:sz="8"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single" w:sz="8" w:space="0" w:color="E15D7B" w:themeColor="accent3" w:themeTint="BF"/>
        <w:insideV w:val="single" w:sz="8" w:space="0" w:color="E15D7B" w:themeColor="accent3" w:themeTint="BF"/>
      </w:tblBorders>
    </w:tblPr>
    <w:tcPr>
      <w:shd w:val="clear" w:color="auto" w:fill="F5C9D3" w:themeFill="accent3" w:themeFillTint="3F"/>
    </w:tcPr>
    <w:tblStylePr w:type="firstRow">
      <w:rPr>
        <w:b/>
        <w:bCs/>
      </w:rPr>
    </w:tblStylePr>
    <w:tblStylePr w:type="lastRow">
      <w:rPr>
        <w:b/>
        <w:bCs/>
      </w:rPr>
      <w:tblPr/>
      <w:tcPr>
        <w:tcBorders>
          <w:top w:val="single" w:sz="18" w:space="0" w:color="E15D7B" w:themeColor="accent3" w:themeTint="BF"/>
        </w:tcBorders>
      </w:tcPr>
    </w:tblStylePr>
    <w:tblStylePr w:type="firstCol">
      <w:rPr>
        <w:b/>
        <w:bCs/>
      </w:rPr>
    </w:tblStylePr>
    <w:tblStylePr w:type="lastCol">
      <w:rPr>
        <w:b/>
        <w:bCs/>
      </w:rPr>
    </w:tblStylePr>
    <w:tblStylePr w:type="band1Vert">
      <w:tblPr/>
      <w:tcPr>
        <w:shd w:val="clear" w:color="auto" w:fill="EB93A7" w:themeFill="accent3" w:themeFillTint="7F"/>
      </w:tcPr>
    </w:tblStylePr>
    <w:tblStylePr w:type="band1Horz">
      <w:tblPr/>
      <w:tcPr>
        <w:shd w:val="clear" w:color="auto" w:fill="EB93A7" w:themeFill="accent3" w:themeFillTint="7F"/>
      </w:tcPr>
    </w:tblStylePr>
  </w:style>
  <w:style w:type="table" w:styleId="MediumGrid1-Accent4">
    <w:name w:val="Medium Grid 1 Accent 4"/>
    <w:basedOn w:val="TableNormal"/>
    <w:uiPriority w:val="67"/>
    <w:semiHidden/>
    <w:unhideWhenUsed/>
    <w:rsid w:val="00B632CF"/>
    <w:tblPr>
      <w:tblStyleRowBandSize w:val="1"/>
      <w:tblStyleColBandSize w:val="1"/>
      <w:tblBorders>
        <w:top w:val="single" w:sz="8"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single" w:sz="8" w:space="0" w:color="FFB74E" w:themeColor="accent4" w:themeTint="BF"/>
        <w:insideV w:val="single" w:sz="8" w:space="0" w:color="FFB74E" w:themeColor="accent4" w:themeTint="BF"/>
      </w:tblBorders>
    </w:tblPr>
    <w:tcPr>
      <w:shd w:val="clear" w:color="auto" w:fill="FFE7C4" w:themeFill="accent4" w:themeFillTint="3F"/>
    </w:tcPr>
    <w:tblStylePr w:type="firstRow">
      <w:rPr>
        <w:b/>
        <w:bCs/>
      </w:rPr>
    </w:tblStylePr>
    <w:tblStylePr w:type="lastRow">
      <w:rPr>
        <w:b/>
        <w:bCs/>
      </w:rPr>
      <w:tblPr/>
      <w:tcPr>
        <w:tcBorders>
          <w:top w:val="single" w:sz="18" w:space="0" w:color="FFB74E" w:themeColor="accent4" w:themeTint="BF"/>
        </w:tcBorders>
      </w:tcPr>
    </w:tblStylePr>
    <w:tblStylePr w:type="firstCol">
      <w:rPr>
        <w:b/>
        <w:bCs/>
      </w:rPr>
    </w:tblStylePr>
    <w:tblStylePr w:type="lastCol">
      <w:rPr>
        <w:b/>
        <w:bCs/>
      </w:rPr>
    </w:tblStylePr>
    <w:tblStylePr w:type="band1Vert">
      <w:tblPr/>
      <w:tcPr>
        <w:shd w:val="clear" w:color="auto" w:fill="FFCF89" w:themeFill="accent4" w:themeFillTint="7F"/>
      </w:tcPr>
    </w:tblStylePr>
    <w:tblStylePr w:type="band1Horz">
      <w:tblPr/>
      <w:tcPr>
        <w:shd w:val="clear" w:color="auto" w:fill="FFCF89" w:themeFill="accent4" w:themeFillTint="7F"/>
      </w:tcPr>
    </w:tblStylePr>
  </w:style>
  <w:style w:type="table" w:styleId="MediumGrid1-Accent5">
    <w:name w:val="Medium Grid 1 Accent 5"/>
    <w:basedOn w:val="TableNormal"/>
    <w:uiPriority w:val="67"/>
    <w:semiHidden/>
    <w:unhideWhenUsed/>
    <w:rsid w:val="00B632CF"/>
    <w:tblPr>
      <w:tblStyleRowBandSize w:val="1"/>
      <w:tblStyleColBandSize w:val="1"/>
      <w:tblBorders>
        <w:top w:val="single" w:sz="8"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single" w:sz="8" w:space="0" w:color="00DD96" w:themeColor="accent5" w:themeTint="BF"/>
        <w:insideV w:val="single" w:sz="8" w:space="0" w:color="00DD96" w:themeColor="accent5" w:themeTint="BF"/>
      </w:tblBorders>
    </w:tblPr>
    <w:tcPr>
      <w:shd w:val="clear" w:color="auto" w:fill="9FFFE0" w:themeFill="accent5" w:themeFillTint="3F"/>
    </w:tcPr>
    <w:tblStylePr w:type="firstRow">
      <w:rPr>
        <w:b/>
        <w:bCs/>
      </w:rPr>
    </w:tblStylePr>
    <w:tblStylePr w:type="lastRow">
      <w:rPr>
        <w:b/>
        <w:bCs/>
      </w:rPr>
      <w:tblPr/>
      <w:tcPr>
        <w:tcBorders>
          <w:top w:val="single" w:sz="18" w:space="0" w:color="00DD96" w:themeColor="accent5" w:themeTint="BF"/>
        </w:tcBorders>
      </w:tcPr>
    </w:tblStylePr>
    <w:tblStylePr w:type="firstCol">
      <w:rPr>
        <w:b/>
        <w:bCs/>
      </w:rPr>
    </w:tblStylePr>
    <w:tblStylePr w:type="lastCol">
      <w:rPr>
        <w:b/>
        <w:bCs/>
      </w:rPr>
    </w:tblStylePr>
    <w:tblStylePr w:type="band1Vert">
      <w:tblPr/>
      <w:tcPr>
        <w:shd w:val="clear" w:color="auto" w:fill="3FFFC1" w:themeFill="accent5" w:themeFillTint="7F"/>
      </w:tcPr>
    </w:tblStylePr>
    <w:tblStylePr w:type="band1Horz">
      <w:tblPr/>
      <w:tcPr>
        <w:shd w:val="clear" w:color="auto" w:fill="3FFFC1" w:themeFill="accent5" w:themeFillTint="7F"/>
      </w:tcPr>
    </w:tblStylePr>
  </w:style>
  <w:style w:type="table" w:styleId="MediumGrid1-Accent6">
    <w:name w:val="Medium Grid 1 Accent 6"/>
    <w:basedOn w:val="TableNormal"/>
    <w:uiPriority w:val="67"/>
    <w:semiHidden/>
    <w:unhideWhenUsed/>
    <w:rsid w:val="00B632CF"/>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insideH w:val="single" w:sz="8" w:space="0" w:color="2314DC" w:themeColor="accent1"/>
        <w:insideV w:val="single" w:sz="8" w:space="0" w:color="2314DC" w:themeColor="accent1"/>
      </w:tblBorders>
    </w:tblPr>
    <w:tcPr>
      <w:shd w:val="clear" w:color="auto" w:fill="C5C1F9" w:themeFill="accent1" w:themeFillTint="3F"/>
    </w:tcPr>
    <w:tblStylePr w:type="firstRow">
      <w:rPr>
        <w:b/>
        <w:bCs/>
        <w:color w:val="000000" w:themeColor="text1"/>
      </w:rPr>
      <w:tblPr/>
      <w:tcPr>
        <w:shd w:val="clear" w:color="auto" w:fill="E8E6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CDFA" w:themeFill="accent1" w:themeFillTint="33"/>
      </w:tcPr>
    </w:tblStylePr>
    <w:tblStylePr w:type="band1Vert">
      <w:tblPr/>
      <w:tcPr>
        <w:shd w:val="clear" w:color="auto" w:fill="8B83F3" w:themeFill="accent1" w:themeFillTint="7F"/>
      </w:tcPr>
    </w:tblStylePr>
    <w:tblStylePr w:type="band1Horz">
      <w:tblPr/>
      <w:tcPr>
        <w:tcBorders>
          <w:insideH w:val="single" w:sz="6" w:space="0" w:color="2314DC" w:themeColor="accent1"/>
          <w:insideV w:val="single" w:sz="6" w:space="0" w:color="2314DC" w:themeColor="accent1"/>
        </w:tcBorders>
        <w:shd w:val="clear" w:color="auto" w:fill="8B83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insideH w:val="single" w:sz="8" w:space="0" w:color="6F006E" w:themeColor="accent2"/>
        <w:insideV w:val="single" w:sz="8" w:space="0" w:color="6F006E" w:themeColor="accent2"/>
      </w:tblBorders>
    </w:tblPr>
    <w:tcPr>
      <w:shd w:val="clear" w:color="auto" w:fill="FF9CFD" w:themeFill="accent2" w:themeFillTint="3F"/>
    </w:tcPr>
    <w:tblStylePr w:type="firstRow">
      <w:rPr>
        <w:b/>
        <w:bCs/>
        <w:color w:val="000000" w:themeColor="text1"/>
      </w:rPr>
      <w:tblPr/>
      <w:tcPr>
        <w:shd w:val="clear" w:color="auto" w:fill="FFD7F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AFFE" w:themeFill="accent2" w:themeFillTint="33"/>
      </w:tcPr>
    </w:tblStylePr>
    <w:tblStylePr w:type="band1Vert">
      <w:tblPr/>
      <w:tcPr>
        <w:shd w:val="clear" w:color="auto" w:fill="FF38FC" w:themeFill="accent2" w:themeFillTint="7F"/>
      </w:tcPr>
    </w:tblStylePr>
    <w:tblStylePr w:type="band1Horz">
      <w:tblPr/>
      <w:tcPr>
        <w:tcBorders>
          <w:insideH w:val="single" w:sz="6" w:space="0" w:color="6F006E" w:themeColor="accent2"/>
          <w:insideV w:val="single" w:sz="6" w:space="0" w:color="6F006E" w:themeColor="accent2"/>
        </w:tcBorders>
        <w:shd w:val="clear" w:color="auto" w:fill="FF38F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insideH w:val="single" w:sz="8" w:space="0" w:color="D72850" w:themeColor="accent3"/>
        <w:insideV w:val="single" w:sz="8" w:space="0" w:color="D72850" w:themeColor="accent3"/>
      </w:tblBorders>
    </w:tblPr>
    <w:tcPr>
      <w:shd w:val="clear" w:color="auto" w:fill="F5C9D3" w:themeFill="accent3" w:themeFillTint="3F"/>
    </w:tcPr>
    <w:tblStylePr w:type="firstRow">
      <w:rPr>
        <w:b/>
        <w:bCs/>
        <w:color w:val="000000" w:themeColor="text1"/>
      </w:rPr>
      <w:tblPr/>
      <w:tcPr>
        <w:shd w:val="clear" w:color="auto" w:fill="FBE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4DB" w:themeFill="accent3" w:themeFillTint="33"/>
      </w:tcPr>
    </w:tblStylePr>
    <w:tblStylePr w:type="band1Vert">
      <w:tblPr/>
      <w:tcPr>
        <w:shd w:val="clear" w:color="auto" w:fill="EB93A7" w:themeFill="accent3" w:themeFillTint="7F"/>
      </w:tcPr>
    </w:tblStylePr>
    <w:tblStylePr w:type="band1Horz">
      <w:tblPr/>
      <w:tcPr>
        <w:tcBorders>
          <w:insideH w:val="single" w:sz="6" w:space="0" w:color="D72850" w:themeColor="accent3"/>
          <w:insideV w:val="single" w:sz="6" w:space="0" w:color="D72850" w:themeColor="accent3"/>
        </w:tcBorders>
        <w:shd w:val="clear" w:color="auto" w:fill="EB93A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insideH w:val="single" w:sz="8" w:space="0" w:color="FFA014" w:themeColor="accent4"/>
        <w:insideV w:val="single" w:sz="8" w:space="0" w:color="FFA014" w:themeColor="accent4"/>
      </w:tblBorders>
    </w:tblPr>
    <w:tcPr>
      <w:shd w:val="clear" w:color="auto" w:fill="FFE7C4" w:themeFill="accent4" w:themeFillTint="3F"/>
    </w:tcPr>
    <w:tblStylePr w:type="firstRow">
      <w:rPr>
        <w:b/>
        <w:bCs/>
        <w:color w:val="000000" w:themeColor="text1"/>
      </w:rPr>
      <w:tblPr/>
      <w:tcPr>
        <w:shd w:val="clear" w:color="auto" w:fill="FFF5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BD0" w:themeFill="accent4" w:themeFillTint="33"/>
      </w:tcPr>
    </w:tblStylePr>
    <w:tblStylePr w:type="band1Vert">
      <w:tblPr/>
      <w:tcPr>
        <w:shd w:val="clear" w:color="auto" w:fill="FFCF89" w:themeFill="accent4" w:themeFillTint="7F"/>
      </w:tcPr>
    </w:tblStylePr>
    <w:tblStylePr w:type="band1Horz">
      <w:tblPr/>
      <w:tcPr>
        <w:tcBorders>
          <w:insideH w:val="single" w:sz="6" w:space="0" w:color="FFA014" w:themeColor="accent4"/>
          <w:insideV w:val="single" w:sz="6" w:space="0" w:color="FFA014" w:themeColor="accent4"/>
        </w:tcBorders>
        <w:shd w:val="clear" w:color="auto" w:fill="FFCF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insideH w:val="single" w:sz="8" w:space="0" w:color="007D55" w:themeColor="accent5"/>
        <w:insideV w:val="single" w:sz="8" w:space="0" w:color="007D55" w:themeColor="accent5"/>
      </w:tblBorders>
    </w:tblPr>
    <w:tcPr>
      <w:shd w:val="clear" w:color="auto" w:fill="9FFFE0" w:themeFill="accent5" w:themeFillTint="3F"/>
    </w:tcPr>
    <w:tblStylePr w:type="firstRow">
      <w:rPr>
        <w:b/>
        <w:bCs/>
        <w:color w:val="000000" w:themeColor="text1"/>
      </w:rPr>
      <w:tblPr/>
      <w:tcPr>
        <w:shd w:val="clear" w:color="auto" w:fill="D9FF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FFE6" w:themeFill="accent5" w:themeFillTint="33"/>
      </w:tcPr>
    </w:tblStylePr>
    <w:tblStylePr w:type="band1Vert">
      <w:tblPr/>
      <w:tcPr>
        <w:shd w:val="clear" w:color="auto" w:fill="3FFFC1" w:themeFill="accent5" w:themeFillTint="7F"/>
      </w:tcPr>
    </w:tblStylePr>
    <w:tblStylePr w:type="band1Horz">
      <w:tblPr/>
      <w:tcPr>
        <w:tcBorders>
          <w:insideH w:val="single" w:sz="6" w:space="0" w:color="007D55" w:themeColor="accent5"/>
          <w:insideV w:val="single" w:sz="6" w:space="0" w:color="007D55" w:themeColor="accent5"/>
        </w:tcBorders>
        <w:shd w:val="clear" w:color="auto" w:fill="3FFF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C1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4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4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4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4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B83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B83F3" w:themeFill="accent1" w:themeFillTint="7F"/>
      </w:tcPr>
    </w:tblStylePr>
  </w:style>
  <w:style w:type="table" w:styleId="MediumGrid3-Accent2">
    <w:name w:val="Medium Grid 3 Accent 2"/>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9CF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006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006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006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006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38F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38FC" w:themeFill="accent2" w:themeFillTint="7F"/>
      </w:tcPr>
    </w:tblStylePr>
  </w:style>
  <w:style w:type="table" w:styleId="MediumGrid3-Accent3">
    <w:name w:val="Medium Grid 3 Accent 3"/>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9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28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28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28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28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93A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93A7" w:themeFill="accent3" w:themeFillTint="7F"/>
      </w:tcPr>
    </w:tblStylePr>
  </w:style>
  <w:style w:type="table" w:styleId="MediumGrid3-Accent4">
    <w:name w:val="Medium Grid 3 Accent 4"/>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7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0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0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0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0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F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F89" w:themeFill="accent4" w:themeFillTint="7F"/>
      </w:tcPr>
    </w:tblStylePr>
  </w:style>
  <w:style w:type="table" w:styleId="MediumGrid3-Accent5">
    <w:name w:val="Medium Grid 3 Accent 5"/>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F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D5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D5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D5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D5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FF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FFC1" w:themeFill="accent5" w:themeFillTint="7F"/>
      </w:tcPr>
    </w:tblStylePr>
  </w:style>
  <w:style w:type="table" w:styleId="MediumGrid3-Accent6">
    <w:name w:val="Medium Grid 3 Accent 6"/>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rsid w:val="00B632C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632CF"/>
    <w:rPr>
      <w:color w:val="000000" w:themeColor="text1"/>
    </w:rPr>
    <w:tblPr>
      <w:tblStyleRowBandSize w:val="1"/>
      <w:tblStyleColBandSize w:val="1"/>
      <w:tblBorders>
        <w:top w:val="single" w:sz="8" w:space="0" w:color="2314DC" w:themeColor="accent1"/>
        <w:bottom w:val="single" w:sz="8" w:space="0" w:color="2314DC" w:themeColor="accent1"/>
      </w:tblBorders>
    </w:tblPr>
    <w:tblStylePr w:type="firstRow">
      <w:rPr>
        <w:rFonts w:asciiTheme="majorHAnsi" w:eastAsiaTheme="majorEastAsia" w:hAnsiTheme="majorHAnsi" w:cstheme="majorBidi"/>
      </w:rPr>
      <w:tblPr/>
      <w:tcPr>
        <w:tcBorders>
          <w:top w:val="nil"/>
          <w:bottom w:val="single" w:sz="8" w:space="0" w:color="2314DC" w:themeColor="accent1"/>
        </w:tcBorders>
      </w:tcPr>
    </w:tblStylePr>
    <w:tblStylePr w:type="lastRow">
      <w:rPr>
        <w:b/>
        <w:bCs/>
        <w:color w:val="333333" w:themeColor="text2"/>
      </w:rPr>
      <w:tblPr/>
      <w:tcPr>
        <w:tcBorders>
          <w:top w:val="single" w:sz="8" w:space="0" w:color="2314DC" w:themeColor="accent1"/>
          <w:bottom w:val="single" w:sz="8" w:space="0" w:color="2314DC" w:themeColor="accent1"/>
        </w:tcBorders>
      </w:tcPr>
    </w:tblStylePr>
    <w:tblStylePr w:type="firstCol">
      <w:rPr>
        <w:b/>
        <w:bCs/>
      </w:rPr>
    </w:tblStylePr>
    <w:tblStylePr w:type="lastCol">
      <w:rPr>
        <w:b/>
        <w:bCs/>
      </w:rPr>
      <w:tblPr/>
      <w:tcPr>
        <w:tcBorders>
          <w:top w:val="single" w:sz="8" w:space="0" w:color="2314DC" w:themeColor="accent1"/>
          <w:bottom w:val="single" w:sz="8" w:space="0" w:color="2314DC" w:themeColor="accent1"/>
        </w:tcBorders>
      </w:tcPr>
    </w:tblStylePr>
    <w:tblStylePr w:type="band1Vert">
      <w:tblPr/>
      <w:tcPr>
        <w:shd w:val="clear" w:color="auto" w:fill="C5C1F9" w:themeFill="accent1" w:themeFillTint="3F"/>
      </w:tcPr>
    </w:tblStylePr>
    <w:tblStylePr w:type="band1Horz">
      <w:tblPr/>
      <w:tcPr>
        <w:shd w:val="clear" w:color="auto" w:fill="C5C1F9" w:themeFill="accent1" w:themeFillTint="3F"/>
      </w:tcPr>
    </w:tblStylePr>
  </w:style>
  <w:style w:type="table" w:styleId="MediumList1-Accent2">
    <w:name w:val="Medium List 1 Accent 2"/>
    <w:basedOn w:val="TableNormal"/>
    <w:uiPriority w:val="65"/>
    <w:semiHidden/>
    <w:unhideWhenUsed/>
    <w:rsid w:val="00B632CF"/>
    <w:rPr>
      <w:color w:val="000000" w:themeColor="text1"/>
    </w:rPr>
    <w:tblPr>
      <w:tblStyleRowBandSize w:val="1"/>
      <w:tblStyleColBandSize w:val="1"/>
      <w:tblBorders>
        <w:top w:val="single" w:sz="8" w:space="0" w:color="6F006E" w:themeColor="accent2"/>
        <w:bottom w:val="single" w:sz="8" w:space="0" w:color="6F006E" w:themeColor="accent2"/>
      </w:tblBorders>
    </w:tblPr>
    <w:tblStylePr w:type="firstRow">
      <w:rPr>
        <w:rFonts w:asciiTheme="majorHAnsi" w:eastAsiaTheme="majorEastAsia" w:hAnsiTheme="majorHAnsi" w:cstheme="majorBidi"/>
      </w:rPr>
      <w:tblPr/>
      <w:tcPr>
        <w:tcBorders>
          <w:top w:val="nil"/>
          <w:bottom w:val="single" w:sz="8" w:space="0" w:color="6F006E" w:themeColor="accent2"/>
        </w:tcBorders>
      </w:tcPr>
    </w:tblStylePr>
    <w:tblStylePr w:type="lastRow">
      <w:rPr>
        <w:b/>
        <w:bCs/>
        <w:color w:val="333333" w:themeColor="text2"/>
      </w:rPr>
      <w:tblPr/>
      <w:tcPr>
        <w:tcBorders>
          <w:top w:val="single" w:sz="8" w:space="0" w:color="6F006E" w:themeColor="accent2"/>
          <w:bottom w:val="single" w:sz="8" w:space="0" w:color="6F006E" w:themeColor="accent2"/>
        </w:tcBorders>
      </w:tcPr>
    </w:tblStylePr>
    <w:tblStylePr w:type="firstCol">
      <w:rPr>
        <w:b/>
        <w:bCs/>
      </w:rPr>
    </w:tblStylePr>
    <w:tblStylePr w:type="lastCol">
      <w:rPr>
        <w:b/>
        <w:bCs/>
      </w:rPr>
      <w:tblPr/>
      <w:tcPr>
        <w:tcBorders>
          <w:top w:val="single" w:sz="8" w:space="0" w:color="6F006E" w:themeColor="accent2"/>
          <w:bottom w:val="single" w:sz="8" w:space="0" w:color="6F006E" w:themeColor="accent2"/>
        </w:tcBorders>
      </w:tcPr>
    </w:tblStylePr>
    <w:tblStylePr w:type="band1Vert">
      <w:tblPr/>
      <w:tcPr>
        <w:shd w:val="clear" w:color="auto" w:fill="FF9CFD" w:themeFill="accent2" w:themeFillTint="3F"/>
      </w:tcPr>
    </w:tblStylePr>
    <w:tblStylePr w:type="band1Horz">
      <w:tblPr/>
      <w:tcPr>
        <w:shd w:val="clear" w:color="auto" w:fill="FF9CFD" w:themeFill="accent2" w:themeFillTint="3F"/>
      </w:tcPr>
    </w:tblStylePr>
  </w:style>
  <w:style w:type="table" w:styleId="MediumList1-Accent3">
    <w:name w:val="Medium List 1 Accent 3"/>
    <w:basedOn w:val="TableNormal"/>
    <w:uiPriority w:val="65"/>
    <w:semiHidden/>
    <w:unhideWhenUsed/>
    <w:rsid w:val="00B632CF"/>
    <w:rPr>
      <w:color w:val="000000" w:themeColor="text1"/>
    </w:rPr>
    <w:tblPr>
      <w:tblStyleRowBandSize w:val="1"/>
      <w:tblStyleColBandSize w:val="1"/>
      <w:tblBorders>
        <w:top w:val="single" w:sz="8" w:space="0" w:color="D72850" w:themeColor="accent3"/>
        <w:bottom w:val="single" w:sz="8" w:space="0" w:color="D72850" w:themeColor="accent3"/>
      </w:tblBorders>
    </w:tblPr>
    <w:tblStylePr w:type="firstRow">
      <w:rPr>
        <w:rFonts w:asciiTheme="majorHAnsi" w:eastAsiaTheme="majorEastAsia" w:hAnsiTheme="majorHAnsi" w:cstheme="majorBidi"/>
      </w:rPr>
      <w:tblPr/>
      <w:tcPr>
        <w:tcBorders>
          <w:top w:val="nil"/>
          <w:bottom w:val="single" w:sz="8" w:space="0" w:color="D72850" w:themeColor="accent3"/>
        </w:tcBorders>
      </w:tcPr>
    </w:tblStylePr>
    <w:tblStylePr w:type="lastRow">
      <w:rPr>
        <w:b/>
        <w:bCs/>
        <w:color w:val="333333" w:themeColor="text2"/>
      </w:rPr>
      <w:tblPr/>
      <w:tcPr>
        <w:tcBorders>
          <w:top w:val="single" w:sz="8" w:space="0" w:color="D72850" w:themeColor="accent3"/>
          <w:bottom w:val="single" w:sz="8" w:space="0" w:color="D72850" w:themeColor="accent3"/>
        </w:tcBorders>
      </w:tcPr>
    </w:tblStylePr>
    <w:tblStylePr w:type="firstCol">
      <w:rPr>
        <w:b/>
        <w:bCs/>
      </w:rPr>
    </w:tblStylePr>
    <w:tblStylePr w:type="lastCol">
      <w:rPr>
        <w:b/>
        <w:bCs/>
      </w:rPr>
      <w:tblPr/>
      <w:tcPr>
        <w:tcBorders>
          <w:top w:val="single" w:sz="8" w:space="0" w:color="D72850" w:themeColor="accent3"/>
          <w:bottom w:val="single" w:sz="8" w:space="0" w:color="D72850" w:themeColor="accent3"/>
        </w:tcBorders>
      </w:tcPr>
    </w:tblStylePr>
    <w:tblStylePr w:type="band1Vert">
      <w:tblPr/>
      <w:tcPr>
        <w:shd w:val="clear" w:color="auto" w:fill="F5C9D3" w:themeFill="accent3" w:themeFillTint="3F"/>
      </w:tcPr>
    </w:tblStylePr>
    <w:tblStylePr w:type="band1Horz">
      <w:tblPr/>
      <w:tcPr>
        <w:shd w:val="clear" w:color="auto" w:fill="F5C9D3" w:themeFill="accent3" w:themeFillTint="3F"/>
      </w:tcPr>
    </w:tblStylePr>
  </w:style>
  <w:style w:type="table" w:styleId="MediumList1-Accent4">
    <w:name w:val="Medium List 1 Accent 4"/>
    <w:basedOn w:val="TableNormal"/>
    <w:uiPriority w:val="65"/>
    <w:semiHidden/>
    <w:unhideWhenUsed/>
    <w:rsid w:val="00B632CF"/>
    <w:rPr>
      <w:color w:val="000000" w:themeColor="text1"/>
    </w:rPr>
    <w:tblPr>
      <w:tblStyleRowBandSize w:val="1"/>
      <w:tblStyleColBandSize w:val="1"/>
      <w:tblBorders>
        <w:top w:val="single" w:sz="8" w:space="0" w:color="FFA014" w:themeColor="accent4"/>
        <w:bottom w:val="single" w:sz="8" w:space="0" w:color="FFA014" w:themeColor="accent4"/>
      </w:tblBorders>
    </w:tblPr>
    <w:tblStylePr w:type="firstRow">
      <w:rPr>
        <w:rFonts w:asciiTheme="majorHAnsi" w:eastAsiaTheme="majorEastAsia" w:hAnsiTheme="majorHAnsi" w:cstheme="majorBidi"/>
      </w:rPr>
      <w:tblPr/>
      <w:tcPr>
        <w:tcBorders>
          <w:top w:val="nil"/>
          <w:bottom w:val="single" w:sz="8" w:space="0" w:color="FFA014" w:themeColor="accent4"/>
        </w:tcBorders>
      </w:tcPr>
    </w:tblStylePr>
    <w:tblStylePr w:type="lastRow">
      <w:rPr>
        <w:b/>
        <w:bCs/>
        <w:color w:val="333333" w:themeColor="text2"/>
      </w:rPr>
      <w:tblPr/>
      <w:tcPr>
        <w:tcBorders>
          <w:top w:val="single" w:sz="8" w:space="0" w:color="FFA014" w:themeColor="accent4"/>
          <w:bottom w:val="single" w:sz="8" w:space="0" w:color="FFA014" w:themeColor="accent4"/>
        </w:tcBorders>
      </w:tcPr>
    </w:tblStylePr>
    <w:tblStylePr w:type="firstCol">
      <w:rPr>
        <w:b/>
        <w:bCs/>
      </w:rPr>
    </w:tblStylePr>
    <w:tblStylePr w:type="lastCol">
      <w:rPr>
        <w:b/>
        <w:bCs/>
      </w:rPr>
      <w:tblPr/>
      <w:tcPr>
        <w:tcBorders>
          <w:top w:val="single" w:sz="8" w:space="0" w:color="FFA014" w:themeColor="accent4"/>
          <w:bottom w:val="single" w:sz="8" w:space="0" w:color="FFA014" w:themeColor="accent4"/>
        </w:tcBorders>
      </w:tcPr>
    </w:tblStylePr>
    <w:tblStylePr w:type="band1Vert">
      <w:tblPr/>
      <w:tcPr>
        <w:shd w:val="clear" w:color="auto" w:fill="FFE7C4" w:themeFill="accent4" w:themeFillTint="3F"/>
      </w:tcPr>
    </w:tblStylePr>
    <w:tblStylePr w:type="band1Horz">
      <w:tblPr/>
      <w:tcPr>
        <w:shd w:val="clear" w:color="auto" w:fill="FFE7C4" w:themeFill="accent4" w:themeFillTint="3F"/>
      </w:tcPr>
    </w:tblStylePr>
  </w:style>
  <w:style w:type="table" w:styleId="MediumList1-Accent5">
    <w:name w:val="Medium List 1 Accent 5"/>
    <w:basedOn w:val="TableNormal"/>
    <w:uiPriority w:val="65"/>
    <w:semiHidden/>
    <w:unhideWhenUsed/>
    <w:rsid w:val="00B632CF"/>
    <w:rPr>
      <w:color w:val="000000" w:themeColor="text1"/>
    </w:rPr>
    <w:tblPr>
      <w:tblStyleRowBandSize w:val="1"/>
      <w:tblStyleColBandSize w:val="1"/>
      <w:tblBorders>
        <w:top w:val="single" w:sz="8" w:space="0" w:color="007D55" w:themeColor="accent5"/>
        <w:bottom w:val="single" w:sz="8" w:space="0" w:color="007D55" w:themeColor="accent5"/>
      </w:tblBorders>
    </w:tblPr>
    <w:tblStylePr w:type="firstRow">
      <w:rPr>
        <w:rFonts w:asciiTheme="majorHAnsi" w:eastAsiaTheme="majorEastAsia" w:hAnsiTheme="majorHAnsi" w:cstheme="majorBidi"/>
      </w:rPr>
      <w:tblPr/>
      <w:tcPr>
        <w:tcBorders>
          <w:top w:val="nil"/>
          <w:bottom w:val="single" w:sz="8" w:space="0" w:color="007D55" w:themeColor="accent5"/>
        </w:tcBorders>
      </w:tcPr>
    </w:tblStylePr>
    <w:tblStylePr w:type="lastRow">
      <w:rPr>
        <w:b/>
        <w:bCs/>
        <w:color w:val="333333" w:themeColor="text2"/>
      </w:rPr>
      <w:tblPr/>
      <w:tcPr>
        <w:tcBorders>
          <w:top w:val="single" w:sz="8" w:space="0" w:color="007D55" w:themeColor="accent5"/>
          <w:bottom w:val="single" w:sz="8" w:space="0" w:color="007D55" w:themeColor="accent5"/>
        </w:tcBorders>
      </w:tcPr>
    </w:tblStylePr>
    <w:tblStylePr w:type="firstCol">
      <w:rPr>
        <w:b/>
        <w:bCs/>
      </w:rPr>
    </w:tblStylePr>
    <w:tblStylePr w:type="lastCol">
      <w:rPr>
        <w:b/>
        <w:bCs/>
      </w:rPr>
      <w:tblPr/>
      <w:tcPr>
        <w:tcBorders>
          <w:top w:val="single" w:sz="8" w:space="0" w:color="007D55" w:themeColor="accent5"/>
          <w:bottom w:val="single" w:sz="8" w:space="0" w:color="007D55" w:themeColor="accent5"/>
        </w:tcBorders>
      </w:tcPr>
    </w:tblStylePr>
    <w:tblStylePr w:type="band1Vert">
      <w:tblPr/>
      <w:tcPr>
        <w:shd w:val="clear" w:color="auto" w:fill="9FFFE0" w:themeFill="accent5" w:themeFillTint="3F"/>
      </w:tcPr>
    </w:tblStylePr>
    <w:tblStylePr w:type="band1Horz">
      <w:tblPr/>
      <w:tcPr>
        <w:shd w:val="clear" w:color="auto" w:fill="9FFFE0" w:themeFill="accent5" w:themeFillTint="3F"/>
      </w:tcPr>
    </w:tblStylePr>
  </w:style>
  <w:style w:type="table" w:styleId="MediumList1-Accent6">
    <w:name w:val="Medium List 1 Accent 6"/>
    <w:basedOn w:val="TableNormal"/>
    <w:uiPriority w:val="65"/>
    <w:semiHidden/>
    <w:unhideWhenUsed/>
    <w:rsid w:val="00B632CF"/>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Accent1">
    <w:name w:val="Medium List 2 Accent 1"/>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tblBorders>
    </w:tblPr>
    <w:tblStylePr w:type="firstRow">
      <w:rPr>
        <w:sz w:val="24"/>
        <w:szCs w:val="24"/>
      </w:rPr>
      <w:tblPr/>
      <w:tcPr>
        <w:tcBorders>
          <w:top w:val="nil"/>
          <w:left w:val="nil"/>
          <w:bottom w:val="single" w:sz="24" w:space="0" w:color="2314DC" w:themeColor="accent1"/>
          <w:right w:val="nil"/>
          <w:insideH w:val="nil"/>
          <w:insideV w:val="nil"/>
        </w:tcBorders>
        <w:shd w:val="clear" w:color="auto" w:fill="FFFFFF" w:themeFill="background1"/>
      </w:tcPr>
    </w:tblStylePr>
    <w:tblStylePr w:type="lastRow">
      <w:tblPr/>
      <w:tcPr>
        <w:tcBorders>
          <w:top w:val="single" w:sz="8" w:space="0" w:color="2314D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4DC" w:themeColor="accent1"/>
          <w:insideH w:val="nil"/>
          <w:insideV w:val="nil"/>
        </w:tcBorders>
        <w:shd w:val="clear" w:color="auto" w:fill="FFFFFF" w:themeFill="background1"/>
      </w:tcPr>
    </w:tblStylePr>
    <w:tblStylePr w:type="lastCol">
      <w:tblPr/>
      <w:tcPr>
        <w:tcBorders>
          <w:top w:val="nil"/>
          <w:left w:val="single" w:sz="8" w:space="0" w:color="2314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C1F9" w:themeFill="accent1" w:themeFillTint="3F"/>
      </w:tcPr>
    </w:tblStylePr>
    <w:tblStylePr w:type="band1Horz">
      <w:tblPr/>
      <w:tcPr>
        <w:tcBorders>
          <w:top w:val="nil"/>
          <w:bottom w:val="nil"/>
          <w:insideH w:val="nil"/>
          <w:insideV w:val="nil"/>
        </w:tcBorders>
        <w:shd w:val="clear" w:color="auto" w:fill="C5C1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tblBorders>
    </w:tblPr>
    <w:tblStylePr w:type="firstRow">
      <w:rPr>
        <w:sz w:val="24"/>
        <w:szCs w:val="24"/>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tblPr/>
      <w:tcPr>
        <w:tcBorders>
          <w:top w:val="single" w:sz="8" w:space="0" w:color="6F006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006E" w:themeColor="accent2"/>
          <w:insideH w:val="nil"/>
          <w:insideV w:val="nil"/>
        </w:tcBorders>
        <w:shd w:val="clear" w:color="auto" w:fill="FFFFFF" w:themeFill="background1"/>
      </w:tcPr>
    </w:tblStylePr>
    <w:tblStylePr w:type="lastCol">
      <w:tblPr/>
      <w:tcPr>
        <w:tcBorders>
          <w:top w:val="nil"/>
          <w:left w:val="single" w:sz="8" w:space="0" w:color="6F006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9CFD" w:themeFill="accent2" w:themeFillTint="3F"/>
      </w:tcPr>
    </w:tblStylePr>
    <w:tblStylePr w:type="band1Horz">
      <w:tblPr/>
      <w:tcPr>
        <w:tcBorders>
          <w:top w:val="nil"/>
          <w:bottom w:val="nil"/>
          <w:insideH w:val="nil"/>
          <w:insideV w:val="nil"/>
        </w:tcBorders>
        <w:shd w:val="clear" w:color="auto" w:fill="FF9CF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tblBorders>
    </w:tblPr>
    <w:tblStylePr w:type="firstRow">
      <w:rPr>
        <w:sz w:val="24"/>
        <w:szCs w:val="24"/>
      </w:rPr>
      <w:tblPr/>
      <w:tcPr>
        <w:tcBorders>
          <w:top w:val="nil"/>
          <w:left w:val="nil"/>
          <w:bottom w:val="single" w:sz="24" w:space="0" w:color="D72850" w:themeColor="accent3"/>
          <w:right w:val="nil"/>
          <w:insideH w:val="nil"/>
          <w:insideV w:val="nil"/>
        </w:tcBorders>
        <w:shd w:val="clear" w:color="auto" w:fill="FFFFFF" w:themeFill="background1"/>
      </w:tcPr>
    </w:tblStylePr>
    <w:tblStylePr w:type="lastRow">
      <w:tblPr/>
      <w:tcPr>
        <w:tcBorders>
          <w:top w:val="single" w:sz="8" w:space="0" w:color="D7285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2850" w:themeColor="accent3"/>
          <w:insideH w:val="nil"/>
          <w:insideV w:val="nil"/>
        </w:tcBorders>
        <w:shd w:val="clear" w:color="auto" w:fill="FFFFFF" w:themeFill="background1"/>
      </w:tcPr>
    </w:tblStylePr>
    <w:tblStylePr w:type="lastCol">
      <w:tblPr/>
      <w:tcPr>
        <w:tcBorders>
          <w:top w:val="nil"/>
          <w:left w:val="single" w:sz="8" w:space="0" w:color="D728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9D3" w:themeFill="accent3" w:themeFillTint="3F"/>
      </w:tcPr>
    </w:tblStylePr>
    <w:tblStylePr w:type="band1Horz">
      <w:tblPr/>
      <w:tcPr>
        <w:tcBorders>
          <w:top w:val="nil"/>
          <w:bottom w:val="nil"/>
          <w:insideH w:val="nil"/>
          <w:insideV w:val="nil"/>
        </w:tcBorders>
        <w:shd w:val="clear" w:color="auto" w:fill="F5C9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tblBorders>
    </w:tblPr>
    <w:tblStylePr w:type="firstRow">
      <w:rPr>
        <w:sz w:val="24"/>
        <w:szCs w:val="24"/>
      </w:rPr>
      <w:tblPr/>
      <w:tcPr>
        <w:tcBorders>
          <w:top w:val="nil"/>
          <w:left w:val="nil"/>
          <w:bottom w:val="single" w:sz="24" w:space="0" w:color="FFA014" w:themeColor="accent4"/>
          <w:right w:val="nil"/>
          <w:insideH w:val="nil"/>
          <w:insideV w:val="nil"/>
        </w:tcBorders>
        <w:shd w:val="clear" w:color="auto" w:fill="FFFFFF" w:themeFill="background1"/>
      </w:tcPr>
    </w:tblStylePr>
    <w:tblStylePr w:type="lastRow">
      <w:tblPr/>
      <w:tcPr>
        <w:tcBorders>
          <w:top w:val="single" w:sz="8" w:space="0" w:color="FFA01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014" w:themeColor="accent4"/>
          <w:insideH w:val="nil"/>
          <w:insideV w:val="nil"/>
        </w:tcBorders>
        <w:shd w:val="clear" w:color="auto" w:fill="FFFFFF" w:themeFill="background1"/>
      </w:tcPr>
    </w:tblStylePr>
    <w:tblStylePr w:type="lastCol">
      <w:tblPr/>
      <w:tcPr>
        <w:tcBorders>
          <w:top w:val="nil"/>
          <w:left w:val="single" w:sz="8" w:space="0" w:color="FFA0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7C4" w:themeFill="accent4" w:themeFillTint="3F"/>
      </w:tcPr>
    </w:tblStylePr>
    <w:tblStylePr w:type="band1Horz">
      <w:tblPr/>
      <w:tcPr>
        <w:tcBorders>
          <w:top w:val="nil"/>
          <w:bottom w:val="nil"/>
          <w:insideH w:val="nil"/>
          <w:insideV w:val="nil"/>
        </w:tcBorders>
        <w:shd w:val="clear" w:color="auto" w:fill="FFE7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tblBorders>
    </w:tblPr>
    <w:tblStylePr w:type="firstRow">
      <w:rPr>
        <w:sz w:val="24"/>
        <w:szCs w:val="24"/>
      </w:rPr>
      <w:tblPr/>
      <w:tcPr>
        <w:tcBorders>
          <w:top w:val="nil"/>
          <w:left w:val="nil"/>
          <w:bottom w:val="single" w:sz="24" w:space="0" w:color="007D55" w:themeColor="accent5"/>
          <w:right w:val="nil"/>
          <w:insideH w:val="nil"/>
          <w:insideV w:val="nil"/>
        </w:tcBorders>
        <w:shd w:val="clear" w:color="auto" w:fill="FFFFFF" w:themeFill="background1"/>
      </w:tcPr>
    </w:tblStylePr>
    <w:tblStylePr w:type="lastRow">
      <w:tblPr/>
      <w:tcPr>
        <w:tcBorders>
          <w:top w:val="single" w:sz="8" w:space="0" w:color="007D5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D55" w:themeColor="accent5"/>
          <w:insideH w:val="nil"/>
          <w:insideV w:val="nil"/>
        </w:tcBorders>
        <w:shd w:val="clear" w:color="auto" w:fill="FFFFFF" w:themeFill="background1"/>
      </w:tcPr>
    </w:tblStylePr>
    <w:tblStylePr w:type="lastCol">
      <w:tblPr/>
      <w:tcPr>
        <w:tcBorders>
          <w:top w:val="nil"/>
          <w:left w:val="single" w:sz="8" w:space="0" w:color="007D5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FE0" w:themeFill="accent5" w:themeFillTint="3F"/>
      </w:tcPr>
    </w:tblStylePr>
    <w:tblStylePr w:type="band1Horz">
      <w:tblPr/>
      <w:tcPr>
        <w:tcBorders>
          <w:top w:val="nil"/>
          <w:bottom w:val="nil"/>
          <w:insideH w:val="nil"/>
          <w:insideV w:val="nil"/>
        </w:tcBorders>
        <w:shd w:val="clear" w:color="auto" w:fill="9FFF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single" w:sz="8" w:space="0" w:color="C8C8C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632C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632CF"/>
    <w:tblPr>
      <w:tblStyleRowBandSize w:val="1"/>
      <w:tblStyleColBandSize w:val="1"/>
      <w:tblBorders>
        <w:top w:val="single" w:sz="8"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single" w:sz="8" w:space="0" w:color="5245EE" w:themeColor="accent1" w:themeTint="BF"/>
      </w:tblBorders>
    </w:tblPr>
    <w:tblStylePr w:type="firstRow">
      <w:pPr>
        <w:spacing w:before="0" w:after="0" w:line="240" w:lineRule="auto"/>
      </w:pPr>
      <w:rPr>
        <w:b/>
        <w:bCs/>
        <w:color w:val="FFFFFF" w:themeColor="background1"/>
      </w:rPr>
      <w:tblPr/>
      <w:tcPr>
        <w:tcBorders>
          <w:top w:val="single" w:sz="8"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nil"/>
          <w:insideV w:val="nil"/>
        </w:tcBorders>
        <w:shd w:val="clear" w:color="auto" w:fill="2314DC" w:themeFill="accent1"/>
      </w:tcPr>
    </w:tblStylePr>
    <w:tblStylePr w:type="lastRow">
      <w:pPr>
        <w:spacing w:before="0" w:after="0" w:line="240" w:lineRule="auto"/>
      </w:pPr>
      <w:rPr>
        <w:b/>
        <w:bCs/>
      </w:rPr>
      <w:tblPr/>
      <w:tcPr>
        <w:tcBorders>
          <w:top w:val="double" w:sz="6"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C1F9" w:themeFill="accent1" w:themeFillTint="3F"/>
      </w:tcPr>
    </w:tblStylePr>
    <w:tblStylePr w:type="band1Horz">
      <w:tblPr/>
      <w:tcPr>
        <w:tcBorders>
          <w:insideH w:val="nil"/>
          <w:insideV w:val="nil"/>
        </w:tcBorders>
        <w:shd w:val="clear" w:color="auto" w:fill="C5C1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632CF"/>
    <w:tblPr>
      <w:tblStyleRowBandSize w:val="1"/>
      <w:tblStyleColBandSize w:val="1"/>
      <w:tblBorders>
        <w:top w:val="single" w:sz="8"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single" w:sz="8" w:space="0" w:color="D300D0" w:themeColor="accent2" w:themeTint="BF"/>
      </w:tblBorders>
    </w:tblPr>
    <w:tblStylePr w:type="firstRow">
      <w:pPr>
        <w:spacing w:before="0" w:after="0" w:line="240" w:lineRule="auto"/>
      </w:pPr>
      <w:rPr>
        <w:b/>
        <w:bCs/>
        <w:color w:val="FFFFFF" w:themeColor="background1"/>
      </w:rPr>
      <w:tblPr/>
      <w:tcPr>
        <w:tcBorders>
          <w:top w:val="single" w:sz="8"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nil"/>
          <w:insideV w:val="nil"/>
        </w:tcBorders>
        <w:shd w:val="clear" w:color="auto" w:fill="6F006E" w:themeFill="accent2"/>
      </w:tcPr>
    </w:tblStylePr>
    <w:tblStylePr w:type="lastRow">
      <w:pPr>
        <w:spacing w:before="0" w:after="0" w:line="240" w:lineRule="auto"/>
      </w:pPr>
      <w:rPr>
        <w:b/>
        <w:bCs/>
      </w:rPr>
      <w:tblPr/>
      <w:tcPr>
        <w:tcBorders>
          <w:top w:val="double" w:sz="6"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9CFD" w:themeFill="accent2" w:themeFillTint="3F"/>
      </w:tcPr>
    </w:tblStylePr>
    <w:tblStylePr w:type="band1Horz">
      <w:tblPr/>
      <w:tcPr>
        <w:tcBorders>
          <w:insideH w:val="nil"/>
          <w:insideV w:val="nil"/>
        </w:tcBorders>
        <w:shd w:val="clear" w:color="auto" w:fill="FF9CF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632CF"/>
    <w:tblPr>
      <w:tblStyleRowBandSize w:val="1"/>
      <w:tblStyleColBandSize w:val="1"/>
      <w:tblBorders>
        <w:top w:val="single" w:sz="8"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single" w:sz="8" w:space="0" w:color="E15D7B" w:themeColor="accent3" w:themeTint="BF"/>
      </w:tblBorders>
    </w:tblPr>
    <w:tblStylePr w:type="firstRow">
      <w:pPr>
        <w:spacing w:before="0" w:after="0" w:line="240" w:lineRule="auto"/>
      </w:pPr>
      <w:rPr>
        <w:b/>
        <w:bCs/>
        <w:color w:val="FFFFFF" w:themeColor="background1"/>
      </w:rPr>
      <w:tblPr/>
      <w:tcPr>
        <w:tcBorders>
          <w:top w:val="single" w:sz="8"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nil"/>
          <w:insideV w:val="nil"/>
        </w:tcBorders>
        <w:shd w:val="clear" w:color="auto" w:fill="D72850" w:themeFill="accent3"/>
      </w:tcPr>
    </w:tblStylePr>
    <w:tblStylePr w:type="lastRow">
      <w:pPr>
        <w:spacing w:before="0" w:after="0" w:line="240" w:lineRule="auto"/>
      </w:pPr>
      <w:rPr>
        <w:b/>
        <w:bCs/>
      </w:rPr>
      <w:tblPr/>
      <w:tcPr>
        <w:tcBorders>
          <w:top w:val="double" w:sz="6"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5C9D3" w:themeFill="accent3" w:themeFillTint="3F"/>
      </w:tcPr>
    </w:tblStylePr>
    <w:tblStylePr w:type="band1Horz">
      <w:tblPr/>
      <w:tcPr>
        <w:tcBorders>
          <w:insideH w:val="nil"/>
          <w:insideV w:val="nil"/>
        </w:tcBorders>
        <w:shd w:val="clear" w:color="auto" w:fill="F5C9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632CF"/>
    <w:tblPr>
      <w:tblStyleRowBandSize w:val="1"/>
      <w:tblStyleColBandSize w:val="1"/>
      <w:tblBorders>
        <w:top w:val="single" w:sz="8"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single" w:sz="8" w:space="0" w:color="FFB74E" w:themeColor="accent4" w:themeTint="BF"/>
      </w:tblBorders>
    </w:tblPr>
    <w:tblStylePr w:type="firstRow">
      <w:pPr>
        <w:spacing w:before="0" w:after="0" w:line="240" w:lineRule="auto"/>
      </w:pPr>
      <w:rPr>
        <w:b/>
        <w:bCs/>
        <w:color w:val="FFFFFF" w:themeColor="background1"/>
      </w:rPr>
      <w:tblPr/>
      <w:tcPr>
        <w:tcBorders>
          <w:top w:val="single" w:sz="8"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nil"/>
          <w:insideV w:val="nil"/>
        </w:tcBorders>
        <w:shd w:val="clear" w:color="auto" w:fill="FFA014" w:themeFill="accent4"/>
      </w:tcPr>
    </w:tblStylePr>
    <w:tblStylePr w:type="lastRow">
      <w:pPr>
        <w:spacing w:before="0" w:after="0" w:line="240" w:lineRule="auto"/>
      </w:pPr>
      <w:rPr>
        <w:b/>
        <w:bCs/>
      </w:rPr>
      <w:tblPr/>
      <w:tcPr>
        <w:tcBorders>
          <w:top w:val="double" w:sz="6"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7C4" w:themeFill="accent4" w:themeFillTint="3F"/>
      </w:tcPr>
    </w:tblStylePr>
    <w:tblStylePr w:type="band1Horz">
      <w:tblPr/>
      <w:tcPr>
        <w:tcBorders>
          <w:insideH w:val="nil"/>
          <w:insideV w:val="nil"/>
        </w:tcBorders>
        <w:shd w:val="clear" w:color="auto" w:fill="FFE7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632CF"/>
    <w:tblPr>
      <w:tblStyleRowBandSize w:val="1"/>
      <w:tblStyleColBandSize w:val="1"/>
      <w:tblBorders>
        <w:top w:val="single" w:sz="8"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single" w:sz="8" w:space="0" w:color="00DD96" w:themeColor="accent5" w:themeTint="BF"/>
      </w:tblBorders>
    </w:tblPr>
    <w:tblStylePr w:type="firstRow">
      <w:pPr>
        <w:spacing w:before="0" w:after="0" w:line="240" w:lineRule="auto"/>
      </w:pPr>
      <w:rPr>
        <w:b/>
        <w:bCs/>
        <w:color w:val="FFFFFF" w:themeColor="background1"/>
      </w:rPr>
      <w:tblPr/>
      <w:tcPr>
        <w:tcBorders>
          <w:top w:val="single" w:sz="8"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nil"/>
          <w:insideV w:val="nil"/>
        </w:tcBorders>
        <w:shd w:val="clear" w:color="auto" w:fill="007D55" w:themeFill="accent5"/>
      </w:tcPr>
    </w:tblStylePr>
    <w:tblStylePr w:type="lastRow">
      <w:pPr>
        <w:spacing w:before="0" w:after="0" w:line="240" w:lineRule="auto"/>
      </w:pPr>
      <w:rPr>
        <w:b/>
        <w:bCs/>
      </w:rPr>
      <w:tblPr/>
      <w:tcPr>
        <w:tcBorders>
          <w:top w:val="double" w:sz="6"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nil"/>
          <w:insideV w:val="nil"/>
        </w:tcBorders>
      </w:tcPr>
    </w:tblStylePr>
    <w:tblStylePr w:type="firstCol">
      <w:rPr>
        <w:b/>
        <w:bCs/>
      </w:rPr>
    </w:tblStylePr>
    <w:tblStylePr w:type="lastCol">
      <w:rPr>
        <w:b/>
        <w:bCs/>
      </w:rPr>
    </w:tblStylePr>
    <w:tblStylePr w:type="band1Vert">
      <w:tblPr/>
      <w:tcPr>
        <w:shd w:val="clear" w:color="auto" w:fill="9FFFE0" w:themeFill="accent5" w:themeFillTint="3F"/>
      </w:tcPr>
    </w:tblStylePr>
    <w:tblStylePr w:type="band1Horz">
      <w:tblPr/>
      <w:tcPr>
        <w:tcBorders>
          <w:insideH w:val="nil"/>
          <w:insideV w:val="nil"/>
        </w:tcBorders>
        <w:shd w:val="clear" w:color="auto" w:fill="9FFF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632CF"/>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4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4DC" w:themeFill="accent1"/>
      </w:tcPr>
    </w:tblStylePr>
    <w:tblStylePr w:type="lastCol">
      <w:rPr>
        <w:b/>
        <w:bCs/>
        <w:color w:val="FFFFFF" w:themeColor="background1"/>
      </w:rPr>
      <w:tblPr/>
      <w:tcPr>
        <w:tcBorders>
          <w:left w:val="nil"/>
          <w:right w:val="nil"/>
          <w:insideH w:val="nil"/>
          <w:insideV w:val="nil"/>
        </w:tcBorders>
        <w:shd w:val="clear" w:color="auto" w:fill="2314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006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006E" w:themeFill="accent2"/>
      </w:tcPr>
    </w:tblStylePr>
    <w:tblStylePr w:type="lastCol">
      <w:rPr>
        <w:b/>
        <w:bCs/>
        <w:color w:val="FFFFFF" w:themeColor="background1"/>
      </w:rPr>
      <w:tblPr/>
      <w:tcPr>
        <w:tcBorders>
          <w:left w:val="nil"/>
          <w:right w:val="nil"/>
          <w:insideH w:val="nil"/>
          <w:insideV w:val="nil"/>
        </w:tcBorders>
        <w:shd w:val="clear" w:color="auto" w:fill="6F006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28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2850" w:themeFill="accent3"/>
      </w:tcPr>
    </w:tblStylePr>
    <w:tblStylePr w:type="lastCol">
      <w:rPr>
        <w:b/>
        <w:bCs/>
        <w:color w:val="FFFFFF" w:themeColor="background1"/>
      </w:rPr>
      <w:tblPr/>
      <w:tcPr>
        <w:tcBorders>
          <w:left w:val="nil"/>
          <w:right w:val="nil"/>
          <w:insideH w:val="nil"/>
          <w:insideV w:val="nil"/>
        </w:tcBorders>
        <w:shd w:val="clear" w:color="auto" w:fill="D728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0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014" w:themeFill="accent4"/>
      </w:tcPr>
    </w:tblStylePr>
    <w:tblStylePr w:type="lastCol">
      <w:rPr>
        <w:b/>
        <w:bCs/>
        <w:color w:val="FFFFFF" w:themeColor="background1"/>
      </w:rPr>
      <w:tblPr/>
      <w:tcPr>
        <w:tcBorders>
          <w:left w:val="nil"/>
          <w:right w:val="nil"/>
          <w:insideH w:val="nil"/>
          <w:insideV w:val="nil"/>
        </w:tcBorders>
        <w:shd w:val="clear" w:color="auto" w:fill="FFA0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D5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D55" w:themeFill="accent5"/>
      </w:tcPr>
    </w:tblStylePr>
    <w:tblStylePr w:type="lastCol">
      <w:rPr>
        <w:b/>
        <w:bCs/>
        <w:color w:val="FFFFFF" w:themeColor="background1"/>
      </w:rPr>
      <w:tblPr/>
      <w:tcPr>
        <w:tcBorders>
          <w:left w:val="nil"/>
          <w:right w:val="nil"/>
          <w:insideH w:val="nil"/>
          <w:insideV w:val="nil"/>
        </w:tcBorders>
        <w:shd w:val="clear" w:color="auto" w:fill="007D5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B632CF"/>
    <w:rPr>
      <w:color w:val="2B579A"/>
      <w:shd w:val="clear" w:color="auto" w:fill="E1DFDD"/>
    </w:rPr>
  </w:style>
  <w:style w:type="paragraph" w:styleId="MessageHeader">
    <w:name w:val="Message Header"/>
    <w:basedOn w:val="Normal"/>
    <w:link w:val="MessageHeaderChar"/>
    <w:uiPriority w:val="99"/>
    <w:semiHidden/>
    <w:unhideWhenUsed/>
    <w:rsid w:val="00B632C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B632CF"/>
    <w:rPr>
      <w:rFonts w:asciiTheme="majorHAnsi" w:eastAsiaTheme="majorEastAsia" w:hAnsiTheme="majorHAnsi" w:cstheme="majorBidi"/>
      <w:shd w:val="pct20" w:color="auto" w:fill="auto"/>
    </w:rPr>
  </w:style>
  <w:style w:type="paragraph" w:styleId="NoSpacing">
    <w:name w:val="No Spacing"/>
    <w:uiPriority w:val="1"/>
    <w:semiHidden/>
    <w:rsid w:val="00B632CF"/>
    <w:rPr>
      <w:rFonts w:ascii="Jacobs Chronos" w:hAnsi="Jacobs Chronos" w:cs="Jacobs Chronos"/>
      <w:sz w:val="20"/>
    </w:rPr>
  </w:style>
  <w:style w:type="paragraph" w:styleId="NormalWeb">
    <w:name w:val="Normal (Web)"/>
    <w:basedOn w:val="Normal"/>
    <w:uiPriority w:val="99"/>
    <w:semiHidden/>
    <w:unhideWhenUsed/>
    <w:rsid w:val="00B632CF"/>
    <w:rPr>
      <w:rFonts w:ascii="Times New Roman" w:hAnsi="Times New Roman" w:cs="Times New Roman"/>
      <w:sz w:val="24"/>
    </w:rPr>
  </w:style>
  <w:style w:type="paragraph" w:styleId="NormalIndent">
    <w:name w:val="Normal Indent"/>
    <w:basedOn w:val="Normal"/>
    <w:uiPriority w:val="99"/>
    <w:semiHidden/>
    <w:unhideWhenUsed/>
    <w:rsid w:val="00B632CF"/>
    <w:pPr>
      <w:ind w:left="720"/>
    </w:pPr>
  </w:style>
  <w:style w:type="paragraph" w:styleId="NoteHeading">
    <w:name w:val="Note Heading"/>
    <w:basedOn w:val="Normal"/>
    <w:next w:val="Normal"/>
    <w:link w:val="NoteHeadingChar"/>
    <w:uiPriority w:val="99"/>
    <w:semiHidden/>
    <w:unhideWhenUsed/>
    <w:rsid w:val="00B632CF"/>
    <w:pPr>
      <w:spacing w:after="0" w:line="240" w:lineRule="auto"/>
    </w:pPr>
  </w:style>
  <w:style w:type="character" w:customStyle="1" w:styleId="NoteHeadingChar">
    <w:name w:val="Note Heading Char"/>
    <w:basedOn w:val="DefaultParagraphFont"/>
    <w:link w:val="NoteHeading"/>
    <w:uiPriority w:val="99"/>
    <w:semiHidden/>
    <w:rsid w:val="00B632CF"/>
    <w:rPr>
      <w:rFonts w:ascii="Jacobs Chronos" w:hAnsi="Jacobs Chronos" w:cs="Jacobs Chronos"/>
      <w:sz w:val="20"/>
    </w:rPr>
  </w:style>
  <w:style w:type="character" w:styleId="PlaceholderText">
    <w:name w:val="Placeholder Text"/>
    <w:basedOn w:val="DefaultParagraphFont"/>
    <w:uiPriority w:val="99"/>
    <w:semiHidden/>
    <w:rsid w:val="00B632CF"/>
    <w:rPr>
      <w:color w:val="808080"/>
    </w:rPr>
  </w:style>
  <w:style w:type="table" w:styleId="PlainTable1">
    <w:name w:val="Plain Table 1"/>
    <w:basedOn w:val="TableNormal"/>
    <w:uiPriority w:val="41"/>
    <w:rsid w:val="00B632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632C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632C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632C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632C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632C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632CF"/>
    <w:rPr>
      <w:rFonts w:ascii="Consolas" w:hAnsi="Consolas" w:cs="Jacobs Chronos"/>
      <w:sz w:val="21"/>
      <w:szCs w:val="21"/>
    </w:rPr>
  </w:style>
  <w:style w:type="paragraph" w:styleId="Salutation">
    <w:name w:val="Salutation"/>
    <w:basedOn w:val="Normal"/>
    <w:next w:val="Normal"/>
    <w:link w:val="SalutationChar"/>
    <w:uiPriority w:val="99"/>
    <w:semiHidden/>
    <w:unhideWhenUsed/>
    <w:rsid w:val="00B632CF"/>
  </w:style>
  <w:style w:type="character" w:customStyle="1" w:styleId="SalutationChar">
    <w:name w:val="Salutation Char"/>
    <w:basedOn w:val="DefaultParagraphFont"/>
    <w:link w:val="Salutation"/>
    <w:uiPriority w:val="99"/>
    <w:semiHidden/>
    <w:rsid w:val="00B632CF"/>
    <w:rPr>
      <w:rFonts w:ascii="Jacobs Chronos" w:hAnsi="Jacobs Chronos" w:cs="Jacobs Chronos"/>
      <w:sz w:val="20"/>
    </w:rPr>
  </w:style>
  <w:style w:type="paragraph" w:styleId="Signature">
    <w:name w:val="Signature"/>
    <w:basedOn w:val="Normal"/>
    <w:link w:val="SignatureChar"/>
    <w:uiPriority w:val="99"/>
    <w:semiHidden/>
    <w:unhideWhenUsed/>
    <w:rsid w:val="00B632CF"/>
    <w:pPr>
      <w:spacing w:after="0" w:line="240" w:lineRule="auto"/>
      <w:ind w:left="4252"/>
    </w:pPr>
  </w:style>
  <w:style w:type="character" w:customStyle="1" w:styleId="SignatureChar">
    <w:name w:val="Signature Char"/>
    <w:basedOn w:val="DefaultParagraphFont"/>
    <w:link w:val="Signature"/>
    <w:uiPriority w:val="99"/>
    <w:semiHidden/>
    <w:rsid w:val="00B632CF"/>
    <w:rPr>
      <w:rFonts w:ascii="Jacobs Chronos" w:hAnsi="Jacobs Chronos" w:cs="Jacobs Chronos"/>
      <w:sz w:val="20"/>
    </w:rPr>
  </w:style>
  <w:style w:type="character" w:styleId="SmartHyperlink">
    <w:name w:val="Smart Hyperlink"/>
    <w:basedOn w:val="DefaultParagraphFont"/>
    <w:uiPriority w:val="99"/>
    <w:semiHidden/>
    <w:unhideWhenUsed/>
    <w:rsid w:val="00B632CF"/>
    <w:rPr>
      <w:u w:val="dotted"/>
    </w:rPr>
  </w:style>
  <w:style w:type="character" w:customStyle="1" w:styleId="SmartLink1">
    <w:name w:val="SmartLink1"/>
    <w:basedOn w:val="DefaultParagraphFont"/>
    <w:uiPriority w:val="99"/>
    <w:semiHidden/>
    <w:unhideWhenUsed/>
    <w:rsid w:val="00B632CF"/>
    <w:rPr>
      <w:color w:val="2314DC" w:themeColor="hyperlink"/>
      <w:u w:val="single"/>
      <w:shd w:val="clear" w:color="auto" w:fill="E1DFDD"/>
    </w:rPr>
  </w:style>
  <w:style w:type="character" w:customStyle="1" w:styleId="SmartLinkError">
    <w:name w:val="Smart Link Error"/>
    <w:basedOn w:val="DefaultParagraphFont"/>
    <w:uiPriority w:val="99"/>
    <w:semiHidden/>
    <w:unhideWhenUsed/>
    <w:rsid w:val="00B632CF"/>
    <w:rPr>
      <w:color w:val="FF0000"/>
    </w:rPr>
  </w:style>
  <w:style w:type="character" w:styleId="Strong">
    <w:name w:val="Strong"/>
    <w:basedOn w:val="DefaultParagraphFont"/>
    <w:uiPriority w:val="22"/>
    <w:rsid w:val="00B632CF"/>
    <w:rPr>
      <w:b/>
      <w:bCs/>
    </w:rPr>
  </w:style>
  <w:style w:type="character" w:styleId="SubtleEmphasis">
    <w:name w:val="Subtle Emphasis"/>
    <w:basedOn w:val="DefaultParagraphFont"/>
    <w:uiPriority w:val="19"/>
    <w:rsid w:val="00B632CF"/>
    <w:rPr>
      <w:i/>
      <w:iCs/>
      <w:color w:val="404040" w:themeColor="text1" w:themeTint="BF"/>
    </w:rPr>
  </w:style>
  <w:style w:type="character" w:styleId="SubtleReference">
    <w:name w:val="Subtle Reference"/>
    <w:basedOn w:val="DefaultParagraphFont"/>
    <w:uiPriority w:val="31"/>
    <w:rsid w:val="00B632CF"/>
    <w:rPr>
      <w:smallCaps/>
      <w:color w:val="5A5A5A" w:themeColor="text1" w:themeTint="A5"/>
    </w:rPr>
  </w:style>
  <w:style w:type="table" w:styleId="Table3Deffects1">
    <w:name w:val="Table 3D effects 1"/>
    <w:basedOn w:val="TableNormal"/>
    <w:uiPriority w:val="99"/>
    <w:semiHidden/>
    <w:unhideWhenUsed/>
    <w:rsid w:val="00B632CF"/>
    <w:pPr>
      <w:spacing w:after="2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632CF"/>
    <w:pPr>
      <w:spacing w:after="2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632CF"/>
    <w:pPr>
      <w:spacing w:after="2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632CF"/>
    <w:pPr>
      <w:spacing w:after="2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632CF"/>
    <w:pPr>
      <w:spacing w:after="2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632CF"/>
    <w:pPr>
      <w:spacing w:after="2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632CF"/>
    <w:pPr>
      <w:spacing w:after="2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632CF"/>
    <w:pPr>
      <w:spacing w:after="2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632CF"/>
    <w:pPr>
      <w:spacing w:after="2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632CF"/>
    <w:pPr>
      <w:spacing w:after="2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632CF"/>
    <w:pPr>
      <w:spacing w:after="2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632CF"/>
    <w:pPr>
      <w:spacing w:after="2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632CF"/>
    <w:pPr>
      <w:spacing w:after="2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632CF"/>
    <w:pPr>
      <w:spacing w:after="2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632CF"/>
    <w:pPr>
      <w:spacing w:after="2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632CF"/>
    <w:pPr>
      <w:spacing w:after="2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632CF"/>
    <w:pPr>
      <w:spacing w:after="2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632CF"/>
    <w:pPr>
      <w:spacing w:after="2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632CF"/>
    <w:pPr>
      <w:spacing w:after="2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632CF"/>
    <w:pPr>
      <w:spacing w:after="2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632CF"/>
    <w:pPr>
      <w:spacing w:after="2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632CF"/>
    <w:pPr>
      <w:spacing w:after="2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632CF"/>
    <w:pPr>
      <w:spacing w:after="2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632CF"/>
    <w:pPr>
      <w:spacing w:after="2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632CF"/>
    <w:pPr>
      <w:spacing w:after="2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632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632CF"/>
    <w:pPr>
      <w:spacing w:after="2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632CF"/>
    <w:pPr>
      <w:spacing w:after="2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632CF"/>
    <w:pPr>
      <w:spacing w:after="2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632CF"/>
    <w:pPr>
      <w:spacing w:after="2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632CF"/>
    <w:pPr>
      <w:spacing w:after="2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632CF"/>
    <w:pPr>
      <w:spacing w:after="2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632CF"/>
    <w:pPr>
      <w:spacing w:after="2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632CF"/>
    <w:pPr>
      <w:spacing w:after="2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632CF"/>
    <w:pPr>
      <w:spacing w:after="0"/>
      <w:ind w:left="200" w:hanging="200"/>
    </w:pPr>
  </w:style>
  <w:style w:type="paragraph" w:styleId="TableofFigures">
    <w:name w:val="table of figures"/>
    <w:basedOn w:val="Normal"/>
    <w:next w:val="Normal"/>
    <w:uiPriority w:val="99"/>
    <w:semiHidden/>
    <w:unhideWhenUsed/>
    <w:rsid w:val="00B632CF"/>
    <w:pPr>
      <w:spacing w:after="0"/>
    </w:pPr>
  </w:style>
  <w:style w:type="table" w:styleId="TableProfessional">
    <w:name w:val="Table Professional"/>
    <w:basedOn w:val="TableNormal"/>
    <w:uiPriority w:val="99"/>
    <w:semiHidden/>
    <w:unhideWhenUsed/>
    <w:rsid w:val="00B632CF"/>
    <w:pPr>
      <w:spacing w:after="2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632CF"/>
    <w:pPr>
      <w:spacing w:after="2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632CF"/>
    <w:pPr>
      <w:spacing w:after="2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632CF"/>
    <w:pPr>
      <w:spacing w:after="2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632CF"/>
    <w:pPr>
      <w:spacing w:after="2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632CF"/>
    <w:pPr>
      <w:spacing w:after="2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632CF"/>
    <w:pPr>
      <w:spacing w:after="2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632CF"/>
    <w:pPr>
      <w:spacing w:after="2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632CF"/>
    <w:pPr>
      <w:spacing w:after="2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632CF"/>
    <w:pPr>
      <w:spacing w:after="2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rsid w:val="00B632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32C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632CF"/>
    <w:pPr>
      <w:spacing w:before="120"/>
    </w:pPr>
    <w:rPr>
      <w:rFonts w:asciiTheme="majorHAnsi" w:eastAsiaTheme="majorEastAsia" w:hAnsiTheme="majorHAnsi" w:cstheme="majorBidi"/>
      <w:b/>
      <w:bCs/>
      <w:sz w:val="24"/>
    </w:rPr>
  </w:style>
  <w:style w:type="character" w:styleId="UnresolvedMention">
    <w:name w:val="Unresolved Mention"/>
    <w:basedOn w:val="DefaultParagraphFont"/>
    <w:uiPriority w:val="99"/>
    <w:semiHidden/>
    <w:unhideWhenUsed/>
    <w:rsid w:val="00B632CF"/>
    <w:rPr>
      <w:color w:val="605E5C"/>
      <w:shd w:val="clear" w:color="auto" w:fill="E1DFDD"/>
    </w:rPr>
  </w:style>
  <w:style w:type="character" w:customStyle="1" w:styleId="SmartLink2">
    <w:name w:val="SmartLink2"/>
    <w:basedOn w:val="DefaultParagraphFont"/>
    <w:uiPriority w:val="99"/>
    <w:semiHidden/>
    <w:unhideWhenUsed/>
    <w:rsid w:val="00BA3E2E"/>
    <w:rPr>
      <w:color w:val="2314DC" w:themeColor="hyperlink"/>
      <w:u w:val="single"/>
      <w:shd w:val="clear" w:color="auto" w:fill="E1DFDD"/>
    </w:rPr>
  </w:style>
  <w:style w:type="paragraph" w:customStyle="1" w:styleId="Bodynarrowbullet">
    <w:name w:val="Body narrow bullet"/>
    <w:basedOn w:val="Normal"/>
    <w:uiPriority w:val="10"/>
    <w:qFormat/>
    <w:rsid w:val="00A752B2"/>
    <w:pPr>
      <w:numPr>
        <w:numId w:val="71"/>
      </w:numPr>
      <w:spacing w:before="60" w:after="60"/>
    </w:pPr>
  </w:style>
  <w:style w:type="character" w:customStyle="1" w:styleId="CoverTitleChar">
    <w:name w:val="Cover Title Char"/>
    <w:basedOn w:val="DefaultParagraphFont"/>
    <w:link w:val="CoverTitle"/>
    <w:rsid w:val="0064413A"/>
    <w:rPr>
      <w:rFonts w:ascii="Jacobs Chronos" w:hAnsi="Jacobs Chronos" w:cs="Jacobs Chronos"/>
      <w:b/>
    </w:rPr>
  </w:style>
  <w:style w:type="paragraph" w:customStyle="1" w:styleId="EndNoteBibliography">
    <w:name w:val="EndNote Bibliography"/>
    <w:basedOn w:val="Normal"/>
    <w:link w:val="EndNoteBibliographyChar"/>
    <w:rsid w:val="0072194C"/>
    <w:rPr>
      <w:noProof/>
    </w:rPr>
  </w:style>
  <w:style w:type="character" w:customStyle="1" w:styleId="EndNoteBibliographyChar">
    <w:name w:val="EndNote Bibliography Char"/>
    <w:basedOn w:val="Para0Char"/>
    <w:link w:val="EndNoteBibliography"/>
    <w:rsid w:val="0072194C"/>
    <w:rPr>
      <w:rFonts w:ascii="Jacobs Chronos" w:hAnsi="Jacobs Chronos" w:cs="Jacobs Chronos"/>
      <w:noProof/>
      <w:sz w:val="20"/>
      <w:lang w:val="en-GB"/>
    </w:rPr>
  </w:style>
  <w:style w:type="character" w:customStyle="1" w:styleId="Para0bulletChar">
    <w:name w:val="Para 0 bullet Char"/>
    <w:basedOn w:val="DefaultParagraphFont"/>
    <w:link w:val="Para0bullet"/>
    <w:qFormat/>
    <w:locked/>
    <w:rsid w:val="00494DCD"/>
    <w:rPr>
      <w:rFonts w:ascii="Jacobs Chronos" w:hAnsi="Jacobs Chronos" w:cs="Jacobs Chronos"/>
      <w:sz w:val="20"/>
      <w:lang w:val="en-GB"/>
    </w:rPr>
  </w:style>
  <w:style w:type="paragraph" w:customStyle="1" w:styleId="Bodynarrowarrow">
    <w:name w:val="Body narrow arrow"/>
    <w:basedOn w:val="Bodynarrowbullet"/>
    <w:uiPriority w:val="10"/>
    <w:qFormat/>
    <w:rsid w:val="00C360C5"/>
    <w:pPr>
      <w:numPr>
        <w:numId w:val="0"/>
      </w:numPr>
      <w:spacing w:before="40"/>
      <w:ind w:left="3799" w:hanging="3601"/>
    </w:pPr>
    <w:rPr>
      <w:rFonts w:ascii="Arial" w:hAnsi="Arial" w:cstheme="minorBidi"/>
    </w:rPr>
  </w:style>
  <w:style w:type="character" w:customStyle="1" w:styleId="TabletextChar">
    <w:name w:val="Table text Char"/>
    <w:basedOn w:val="DefaultParagraphFont"/>
    <w:link w:val="Tabletext"/>
    <w:uiPriority w:val="14"/>
    <w:locked/>
    <w:rsid w:val="00BA089D"/>
    <w:rPr>
      <w:rFonts w:ascii="Jacobs Chronos" w:hAnsi="Jacobs Chronos" w:cs="Jacobs Chronos"/>
      <w:sz w:val="20"/>
      <w:lang w:val="en-GB"/>
    </w:rPr>
  </w:style>
  <w:style w:type="paragraph" w:customStyle="1" w:styleId="Default">
    <w:name w:val="Default"/>
    <w:rsid w:val="006C1F89"/>
    <w:pPr>
      <w:autoSpaceDE w:val="0"/>
      <w:autoSpaceDN w:val="0"/>
      <w:adjustRightInd w:val="0"/>
    </w:pPr>
    <w:rPr>
      <w:rFonts w:ascii="Calibri" w:hAnsi="Calibri" w:cs="Calibri"/>
      <w:color w:val="000000"/>
      <w:lang w:val="en-AU"/>
    </w:rPr>
  </w:style>
  <w:style w:type="paragraph" w:customStyle="1" w:styleId="DocumentDate">
    <w:name w:val="Document Date"/>
    <w:basedOn w:val="Normal"/>
    <w:qFormat/>
    <w:rsid w:val="004823B2"/>
    <w:pPr>
      <w:spacing w:before="80" w:after="80" w:line="276" w:lineRule="auto"/>
    </w:pPr>
    <w:rPr>
      <w:rFonts w:asciiTheme="minorHAnsi" w:eastAsiaTheme="minorHAnsi" w:hAnsiTheme="minorHAnsi" w:cstheme="minorBidi"/>
      <w:sz w:val="18"/>
      <w:szCs w:val="18"/>
      <w:lang w:val="en-AU"/>
    </w:rPr>
  </w:style>
  <w:style w:type="paragraph" w:customStyle="1" w:styleId="EndNoteBibliographyTitle">
    <w:name w:val="EndNote Bibliography Title"/>
    <w:basedOn w:val="Normal"/>
    <w:link w:val="EndNoteBibliographyTitleChar"/>
    <w:rsid w:val="0045757F"/>
    <w:pPr>
      <w:spacing w:after="0"/>
      <w:jc w:val="center"/>
    </w:pPr>
    <w:rPr>
      <w:noProof/>
      <w:lang w:val="en-US"/>
    </w:rPr>
  </w:style>
  <w:style w:type="character" w:customStyle="1" w:styleId="EndNoteBibliographyTitleChar">
    <w:name w:val="EndNote Bibliography Title Char"/>
    <w:basedOn w:val="Para0Char"/>
    <w:link w:val="EndNoteBibliographyTitle"/>
    <w:rsid w:val="0045757F"/>
    <w:rPr>
      <w:rFonts w:ascii="Jacobs Chronos" w:hAnsi="Jacobs Chronos" w:cs="Jacobs Chronos"/>
      <w:noProof/>
      <w:sz w:val="20"/>
      <w:lang w:val="en-GB"/>
    </w:rPr>
  </w:style>
  <w:style w:type="table" w:customStyle="1" w:styleId="TableGrid10">
    <w:name w:val="Table Grid1"/>
    <w:basedOn w:val="TableNormal"/>
    <w:next w:val="TableGrid"/>
    <w:rsid w:val="00297374"/>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1">
    <w:name w:val="Sub Heading 1"/>
    <w:basedOn w:val="Normal"/>
    <w:next w:val="Para0"/>
    <w:uiPriority w:val="1"/>
    <w:qFormat/>
    <w:rsid w:val="00207744"/>
    <w:pPr>
      <w:keepNext/>
      <w:numPr>
        <w:numId w:val="90"/>
      </w:numPr>
      <w:spacing w:before="240" w:after="120"/>
    </w:pPr>
    <w:rPr>
      <w:rFonts w:asciiTheme="minorHAnsi" w:eastAsiaTheme="minorHAnsi" w:hAnsiTheme="minorHAnsi" w:cstheme="minorBidi"/>
      <w:b/>
      <w:szCs w:val="22"/>
      <w:lang w:val="en-AU"/>
    </w:rPr>
  </w:style>
  <w:style w:type="character" w:customStyle="1" w:styleId="CaptionChar1">
    <w:name w:val="Caption Char1"/>
    <w:aliases w:val="Item Char,Table Caption Char,Figure Char,CDM B/Caption Char,TABLE Char,Caption Char Char,Caption_Table Char,AWT Caption Char"/>
    <w:basedOn w:val="DefaultParagraphFont"/>
    <w:link w:val="Caption"/>
    <w:uiPriority w:val="35"/>
    <w:rsid w:val="003A1CE9"/>
    <w:rPr>
      <w:rFonts w:ascii="Jacobs Chronos Light" w:hAnsi="Jacobs Chronos Light" w:cs="Jacobs Chronos Light"/>
      <w:sz w:val="20"/>
      <w:lang w:val="en-GB"/>
    </w:rPr>
  </w:style>
  <w:style w:type="numbering" w:customStyle="1" w:styleId="Bullets">
    <w:name w:val="Bullets"/>
    <w:rsid w:val="003A1CE9"/>
    <w:pPr>
      <w:numPr>
        <w:numId w:val="9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28364">
      <w:bodyDiv w:val="1"/>
      <w:marLeft w:val="0"/>
      <w:marRight w:val="0"/>
      <w:marTop w:val="0"/>
      <w:marBottom w:val="0"/>
      <w:divBdr>
        <w:top w:val="none" w:sz="0" w:space="0" w:color="auto"/>
        <w:left w:val="none" w:sz="0" w:space="0" w:color="auto"/>
        <w:bottom w:val="none" w:sz="0" w:space="0" w:color="auto"/>
        <w:right w:val="none" w:sz="0" w:space="0" w:color="auto"/>
      </w:divBdr>
      <w:divsChild>
        <w:div w:id="1741907361">
          <w:marLeft w:val="446"/>
          <w:marRight w:val="0"/>
          <w:marTop w:val="0"/>
          <w:marBottom w:val="0"/>
          <w:divBdr>
            <w:top w:val="none" w:sz="0" w:space="0" w:color="auto"/>
            <w:left w:val="none" w:sz="0" w:space="0" w:color="auto"/>
            <w:bottom w:val="none" w:sz="0" w:space="0" w:color="auto"/>
            <w:right w:val="none" w:sz="0" w:space="0" w:color="auto"/>
          </w:divBdr>
        </w:div>
        <w:div w:id="1836188848">
          <w:marLeft w:val="446"/>
          <w:marRight w:val="0"/>
          <w:marTop w:val="0"/>
          <w:marBottom w:val="0"/>
          <w:divBdr>
            <w:top w:val="none" w:sz="0" w:space="0" w:color="auto"/>
            <w:left w:val="none" w:sz="0" w:space="0" w:color="auto"/>
            <w:bottom w:val="none" w:sz="0" w:space="0" w:color="auto"/>
            <w:right w:val="none" w:sz="0" w:space="0" w:color="auto"/>
          </w:divBdr>
        </w:div>
      </w:divsChild>
    </w:div>
    <w:div w:id="270213568">
      <w:bodyDiv w:val="1"/>
      <w:marLeft w:val="0"/>
      <w:marRight w:val="0"/>
      <w:marTop w:val="0"/>
      <w:marBottom w:val="0"/>
      <w:divBdr>
        <w:top w:val="none" w:sz="0" w:space="0" w:color="auto"/>
        <w:left w:val="none" w:sz="0" w:space="0" w:color="auto"/>
        <w:bottom w:val="none" w:sz="0" w:space="0" w:color="auto"/>
        <w:right w:val="none" w:sz="0" w:space="0" w:color="auto"/>
      </w:divBdr>
      <w:divsChild>
        <w:div w:id="133185861">
          <w:marLeft w:val="432"/>
          <w:marRight w:val="0"/>
          <w:marTop w:val="200"/>
          <w:marBottom w:val="0"/>
          <w:divBdr>
            <w:top w:val="none" w:sz="0" w:space="0" w:color="auto"/>
            <w:left w:val="none" w:sz="0" w:space="0" w:color="auto"/>
            <w:bottom w:val="none" w:sz="0" w:space="0" w:color="auto"/>
            <w:right w:val="none" w:sz="0" w:space="0" w:color="auto"/>
          </w:divBdr>
        </w:div>
        <w:div w:id="1154487314">
          <w:marLeft w:val="432"/>
          <w:marRight w:val="0"/>
          <w:marTop w:val="200"/>
          <w:marBottom w:val="0"/>
          <w:divBdr>
            <w:top w:val="none" w:sz="0" w:space="0" w:color="auto"/>
            <w:left w:val="none" w:sz="0" w:space="0" w:color="auto"/>
            <w:bottom w:val="none" w:sz="0" w:space="0" w:color="auto"/>
            <w:right w:val="none" w:sz="0" w:space="0" w:color="auto"/>
          </w:divBdr>
        </w:div>
        <w:div w:id="1400982521">
          <w:marLeft w:val="432"/>
          <w:marRight w:val="0"/>
          <w:marTop w:val="200"/>
          <w:marBottom w:val="0"/>
          <w:divBdr>
            <w:top w:val="none" w:sz="0" w:space="0" w:color="auto"/>
            <w:left w:val="none" w:sz="0" w:space="0" w:color="auto"/>
            <w:bottom w:val="none" w:sz="0" w:space="0" w:color="auto"/>
            <w:right w:val="none" w:sz="0" w:space="0" w:color="auto"/>
          </w:divBdr>
        </w:div>
      </w:divsChild>
    </w:div>
    <w:div w:id="287589984">
      <w:bodyDiv w:val="1"/>
      <w:marLeft w:val="0"/>
      <w:marRight w:val="0"/>
      <w:marTop w:val="0"/>
      <w:marBottom w:val="0"/>
      <w:divBdr>
        <w:top w:val="none" w:sz="0" w:space="0" w:color="auto"/>
        <w:left w:val="none" w:sz="0" w:space="0" w:color="auto"/>
        <w:bottom w:val="none" w:sz="0" w:space="0" w:color="auto"/>
        <w:right w:val="none" w:sz="0" w:space="0" w:color="auto"/>
      </w:divBdr>
    </w:div>
    <w:div w:id="389614575">
      <w:bodyDiv w:val="1"/>
      <w:marLeft w:val="0"/>
      <w:marRight w:val="0"/>
      <w:marTop w:val="0"/>
      <w:marBottom w:val="0"/>
      <w:divBdr>
        <w:top w:val="none" w:sz="0" w:space="0" w:color="auto"/>
        <w:left w:val="none" w:sz="0" w:space="0" w:color="auto"/>
        <w:bottom w:val="none" w:sz="0" w:space="0" w:color="auto"/>
        <w:right w:val="none" w:sz="0" w:space="0" w:color="auto"/>
      </w:divBdr>
    </w:div>
    <w:div w:id="461458722">
      <w:bodyDiv w:val="1"/>
      <w:marLeft w:val="0"/>
      <w:marRight w:val="0"/>
      <w:marTop w:val="0"/>
      <w:marBottom w:val="0"/>
      <w:divBdr>
        <w:top w:val="none" w:sz="0" w:space="0" w:color="auto"/>
        <w:left w:val="none" w:sz="0" w:space="0" w:color="auto"/>
        <w:bottom w:val="none" w:sz="0" w:space="0" w:color="auto"/>
        <w:right w:val="none" w:sz="0" w:space="0" w:color="auto"/>
      </w:divBdr>
      <w:divsChild>
        <w:div w:id="183444918">
          <w:marLeft w:val="432"/>
          <w:marRight w:val="0"/>
          <w:marTop w:val="200"/>
          <w:marBottom w:val="0"/>
          <w:divBdr>
            <w:top w:val="none" w:sz="0" w:space="0" w:color="auto"/>
            <w:left w:val="none" w:sz="0" w:space="0" w:color="auto"/>
            <w:bottom w:val="none" w:sz="0" w:space="0" w:color="auto"/>
            <w:right w:val="none" w:sz="0" w:space="0" w:color="auto"/>
          </w:divBdr>
        </w:div>
        <w:div w:id="693725786">
          <w:marLeft w:val="432"/>
          <w:marRight w:val="0"/>
          <w:marTop w:val="200"/>
          <w:marBottom w:val="0"/>
          <w:divBdr>
            <w:top w:val="none" w:sz="0" w:space="0" w:color="auto"/>
            <w:left w:val="none" w:sz="0" w:space="0" w:color="auto"/>
            <w:bottom w:val="none" w:sz="0" w:space="0" w:color="auto"/>
            <w:right w:val="none" w:sz="0" w:space="0" w:color="auto"/>
          </w:divBdr>
        </w:div>
        <w:div w:id="788671690">
          <w:marLeft w:val="432"/>
          <w:marRight w:val="0"/>
          <w:marTop w:val="200"/>
          <w:marBottom w:val="0"/>
          <w:divBdr>
            <w:top w:val="none" w:sz="0" w:space="0" w:color="auto"/>
            <w:left w:val="none" w:sz="0" w:space="0" w:color="auto"/>
            <w:bottom w:val="none" w:sz="0" w:space="0" w:color="auto"/>
            <w:right w:val="none" w:sz="0" w:space="0" w:color="auto"/>
          </w:divBdr>
        </w:div>
        <w:div w:id="1780905998">
          <w:marLeft w:val="432"/>
          <w:marRight w:val="0"/>
          <w:marTop w:val="200"/>
          <w:marBottom w:val="0"/>
          <w:divBdr>
            <w:top w:val="none" w:sz="0" w:space="0" w:color="auto"/>
            <w:left w:val="none" w:sz="0" w:space="0" w:color="auto"/>
            <w:bottom w:val="none" w:sz="0" w:space="0" w:color="auto"/>
            <w:right w:val="none" w:sz="0" w:space="0" w:color="auto"/>
          </w:divBdr>
        </w:div>
      </w:divsChild>
    </w:div>
    <w:div w:id="502086130">
      <w:bodyDiv w:val="1"/>
      <w:marLeft w:val="0"/>
      <w:marRight w:val="0"/>
      <w:marTop w:val="0"/>
      <w:marBottom w:val="0"/>
      <w:divBdr>
        <w:top w:val="none" w:sz="0" w:space="0" w:color="auto"/>
        <w:left w:val="none" w:sz="0" w:space="0" w:color="auto"/>
        <w:bottom w:val="none" w:sz="0" w:space="0" w:color="auto"/>
        <w:right w:val="none" w:sz="0" w:space="0" w:color="auto"/>
      </w:divBdr>
    </w:div>
    <w:div w:id="690568173">
      <w:bodyDiv w:val="1"/>
      <w:marLeft w:val="0"/>
      <w:marRight w:val="0"/>
      <w:marTop w:val="0"/>
      <w:marBottom w:val="0"/>
      <w:divBdr>
        <w:top w:val="none" w:sz="0" w:space="0" w:color="auto"/>
        <w:left w:val="none" w:sz="0" w:space="0" w:color="auto"/>
        <w:bottom w:val="none" w:sz="0" w:space="0" w:color="auto"/>
        <w:right w:val="none" w:sz="0" w:space="0" w:color="auto"/>
      </w:divBdr>
    </w:div>
    <w:div w:id="794637181">
      <w:bodyDiv w:val="1"/>
      <w:marLeft w:val="0"/>
      <w:marRight w:val="0"/>
      <w:marTop w:val="0"/>
      <w:marBottom w:val="0"/>
      <w:divBdr>
        <w:top w:val="none" w:sz="0" w:space="0" w:color="auto"/>
        <w:left w:val="none" w:sz="0" w:space="0" w:color="auto"/>
        <w:bottom w:val="none" w:sz="0" w:space="0" w:color="auto"/>
        <w:right w:val="none" w:sz="0" w:space="0" w:color="auto"/>
      </w:divBdr>
      <w:divsChild>
        <w:div w:id="408386500">
          <w:marLeft w:val="850"/>
          <w:marRight w:val="0"/>
          <w:marTop w:val="100"/>
          <w:marBottom w:val="0"/>
          <w:divBdr>
            <w:top w:val="none" w:sz="0" w:space="0" w:color="auto"/>
            <w:left w:val="none" w:sz="0" w:space="0" w:color="auto"/>
            <w:bottom w:val="none" w:sz="0" w:space="0" w:color="auto"/>
            <w:right w:val="none" w:sz="0" w:space="0" w:color="auto"/>
          </w:divBdr>
        </w:div>
        <w:div w:id="530385753">
          <w:marLeft w:val="432"/>
          <w:marRight w:val="0"/>
          <w:marTop w:val="200"/>
          <w:marBottom w:val="0"/>
          <w:divBdr>
            <w:top w:val="none" w:sz="0" w:space="0" w:color="auto"/>
            <w:left w:val="none" w:sz="0" w:space="0" w:color="auto"/>
            <w:bottom w:val="none" w:sz="0" w:space="0" w:color="auto"/>
            <w:right w:val="none" w:sz="0" w:space="0" w:color="auto"/>
          </w:divBdr>
        </w:div>
        <w:div w:id="740560978">
          <w:marLeft w:val="432"/>
          <w:marRight w:val="0"/>
          <w:marTop w:val="200"/>
          <w:marBottom w:val="0"/>
          <w:divBdr>
            <w:top w:val="none" w:sz="0" w:space="0" w:color="auto"/>
            <w:left w:val="none" w:sz="0" w:space="0" w:color="auto"/>
            <w:bottom w:val="none" w:sz="0" w:space="0" w:color="auto"/>
            <w:right w:val="none" w:sz="0" w:space="0" w:color="auto"/>
          </w:divBdr>
        </w:div>
        <w:div w:id="906455635">
          <w:marLeft w:val="432"/>
          <w:marRight w:val="0"/>
          <w:marTop w:val="200"/>
          <w:marBottom w:val="0"/>
          <w:divBdr>
            <w:top w:val="none" w:sz="0" w:space="0" w:color="auto"/>
            <w:left w:val="none" w:sz="0" w:space="0" w:color="auto"/>
            <w:bottom w:val="none" w:sz="0" w:space="0" w:color="auto"/>
            <w:right w:val="none" w:sz="0" w:space="0" w:color="auto"/>
          </w:divBdr>
        </w:div>
        <w:div w:id="1917128225">
          <w:marLeft w:val="850"/>
          <w:marRight w:val="0"/>
          <w:marTop w:val="100"/>
          <w:marBottom w:val="0"/>
          <w:divBdr>
            <w:top w:val="none" w:sz="0" w:space="0" w:color="auto"/>
            <w:left w:val="none" w:sz="0" w:space="0" w:color="auto"/>
            <w:bottom w:val="none" w:sz="0" w:space="0" w:color="auto"/>
            <w:right w:val="none" w:sz="0" w:space="0" w:color="auto"/>
          </w:divBdr>
        </w:div>
        <w:div w:id="2095010416">
          <w:marLeft w:val="850"/>
          <w:marRight w:val="0"/>
          <w:marTop w:val="100"/>
          <w:marBottom w:val="0"/>
          <w:divBdr>
            <w:top w:val="none" w:sz="0" w:space="0" w:color="auto"/>
            <w:left w:val="none" w:sz="0" w:space="0" w:color="auto"/>
            <w:bottom w:val="none" w:sz="0" w:space="0" w:color="auto"/>
            <w:right w:val="none" w:sz="0" w:space="0" w:color="auto"/>
          </w:divBdr>
        </w:div>
      </w:divsChild>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860047427">
      <w:bodyDiv w:val="1"/>
      <w:marLeft w:val="0"/>
      <w:marRight w:val="0"/>
      <w:marTop w:val="0"/>
      <w:marBottom w:val="0"/>
      <w:divBdr>
        <w:top w:val="none" w:sz="0" w:space="0" w:color="auto"/>
        <w:left w:val="none" w:sz="0" w:space="0" w:color="auto"/>
        <w:bottom w:val="none" w:sz="0" w:space="0" w:color="auto"/>
        <w:right w:val="none" w:sz="0" w:space="0" w:color="auto"/>
      </w:divBdr>
    </w:div>
    <w:div w:id="872696507">
      <w:bodyDiv w:val="1"/>
      <w:marLeft w:val="0"/>
      <w:marRight w:val="0"/>
      <w:marTop w:val="0"/>
      <w:marBottom w:val="0"/>
      <w:divBdr>
        <w:top w:val="none" w:sz="0" w:space="0" w:color="auto"/>
        <w:left w:val="none" w:sz="0" w:space="0" w:color="auto"/>
        <w:bottom w:val="none" w:sz="0" w:space="0" w:color="auto"/>
        <w:right w:val="none" w:sz="0" w:space="0" w:color="auto"/>
      </w:divBdr>
    </w:div>
    <w:div w:id="918489935">
      <w:bodyDiv w:val="1"/>
      <w:marLeft w:val="0"/>
      <w:marRight w:val="0"/>
      <w:marTop w:val="0"/>
      <w:marBottom w:val="0"/>
      <w:divBdr>
        <w:top w:val="none" w:sz="0" w:space="0" w:color="auto"/>
        <w:left w:val="none" w:sz="0" w:space="0" w:color="auto"/>
        <w:bottom w:val="none" w:sz="0" w:space="0" w:color="auto"/>
        <w:right w:val="none" w:sz="0" w:space="0" w:color="auto"/>
      </w:divBdr>
      <w:divsChild>
        <w:div w:id="5792974">
          <w:marLeft w:val="850"/>
          <w:marRight w:val="0"/>
          <w:marTop w:val="100"/>
          <w:marBottom w:val="0"/>
          <w:divBdr>
            <w:top w:val="none" w:sz="0" w:space="0" w:color="auto"/>
            <w:left w:val="none" w:sz="0" w:space="0" w:color="auto"/>
            <w:bottom w:val="none" w:sz="0" w:space="0" w:color="auto"/>
            <w:right w:val="none" w:sz="0" w:space="0" w:color="auto"/>
          </w:divBdr>
        </w:div>
        <w:div w:id="30880138">
          <w:marLeft w:val="432"/>
          <w:marRight w:val="0"/>
          <w:marTop w:val="200"/>
          <w:marBottom w:val="0"/>
          <w:divBdr>
            <w:top w:val="none" w:sz="0" w:space="0" w:color="auto"/>
            <w:left w:val="none" w:sz="0" w:space="0" w:color="auto"/>
            <w:bottom w:val="none" w:sz="0" w:space="0" w:color="auto"/>
            <w:right w:val="none" w:sz="0" w:space="0" w:color="auto"/>
          </w:divBdr>
        </w:div>
        <w:div w:id="167210837">
          <w:marLeft w:val="432"/>
          <w:marRight w:val="0"/>
          <w:marTop w:val="200"/>
          <w:marBottom w:val="0"/>
          <w:divBdr>
            <w:top w:val="none" w:sz="0" w:space="0" w:color="auto"/>
            <w:left w:val="none" w:sz="0" w:space="0" w:color="auto"/>
            <w:bottom w:val="none" w:sz="0" w:space="0" w:color="auto"/>
            <w:right w:val="none" w:sz="0" w:space="0" w:color="auto"/>
          </w:divBdr>
        </w:div>
        <w:div w:id="194971764">
          <w:marLeft w:val="850"/>
          <w:marRight w:val="0"/>
          <w:marTop w:val="100"/>
          <w:marBottom w:val="0"/>
          <w:divBdr>
            <w:top w:val="none" w:sz="0" w:space="0" w:color="auto"/>
            <w:left w:val="none" w:sz="0" w:space="0" w:color="auto"/>
            <w:bottom w:val="none" w:sz="0" w:space="0" w:color="auto"/>
            <w:right w:val="none" w:sz="0" w:space="0" w:color="auto"/>
          </w:divBdr>
        </w:div>
        <w:div w:id="1090345109">
          <w:marLeft w:val="850"/>
          <w:marRight w:val="0"/>
          <w:marTop w:val="100"/>
          <w:marBottom w:val="0"/>
          <w:divBdr>
            <w:top w:val="none" w:sz="0" w:space="0" w:color="auto"/>
            <w:left w:val="none" w:sz="0" w:space="0" w:color="auto"/>
            <w:bottom w:val="none" w:sz="0" w:space="0" w:color="auto"/>
            <w:right w:val="none" w:sz="0" w:space="0" w:color="auto"/>
          </w:divBdr>
        </w:div>
        <w:div w:id="1136722335">
          <w:marLeft w:val="850"/>
          <w:marRight w:val="0"/>
          <w:marTop w:val="100"/>
          <w:marBottom w:val="0"/>
          <w:divBdr>
            <w:top w:val="none" w:sz="0" w:space="0" w:color="auto"/>
            <w:left w:val="none" w:sz="0" w:space="0" w:color="auto"/>
            <w:bottom w:val="none" w:sz="0" w:space="0" w:color="auto"/>
            <w:right w:val="none" w:sz="0" w:space="0" w:color="auto"/>
          </w:divBdr>
        </w:div>
        <w:div w:id="1765150413">
          <w:marLeft w:val="432"/>
          <w:marRight w:val="0"/>
          <w:marTop w:val="200"/>
          <w:marBottom w:val="0"/>
          <w:divBdr>
            <w:top w:val="none" w:sz="0" w:space="0" w:color="auto"/>
            <w:left w:val="none" w:sz="0" w:space="0" w:color="auto"/>
            <w:bottom w:val="none" w:sz="0" w:space="0" w:color="auto"/>
            <w:right w:val="none" w:sz="0" w:space="0" w:color="auto"/>
          </w:divBdr>
        </w:div>
        <w:div w:id="1987854282">
          <w:marLeft w:val="432"/>
          <w:marRight w:val="0"/>
          <w:marTop w:val="200"/>
          <w:marBottom w:val="0"/>
          <w:divBdr>
            <w:top w:val="none" w:sz="0" w:space="0" w:color="auto"/>
            <w:left w:val="none" w:sz="0" w:space="0" w:color="auto"/>
            <w:bottom w:val="none" w:sz="0" w:space="0" w:color="auto"/>
            <w:right w:val="none" w:sz="0" w:space="0" w:color="auto"/>
          </w:divBdr>
        </w:div>
      </w:divsChild>
    </w:div>
    <w:div w:id="981690333">
      <w:bodyDiv w:val="1"/>
      <w:marLeft w:val="0"/>
      <w:marRight w:val="0"/>
      <w:marTop w:val="0"/>
      <w:marBottom w:val="0"/>
      <w:divBdr>
        <w:top w:val="none" w:sz="0" w:space="0" w:color="auto"/>
        <w:left w:val="none" w:sz="0" w:space="0" w:color="auto"/>
        <w:bottom w:val="none" w:sz="0" w:space="0" w:color="auto"/>
        <w:right w:val="none" w:sz="0" w:space="0" w:color="auto"/>
      </w:divBdr>
    </w:div>
    <w:div w:id="1030767092">
      <w:bodyDiv w:val="1"/>
      <w:marLeft w:val="0"/>
      <w:marRight w:val="0"/>
      <w:marTop w:val="0"/>
      <w:marBottom w:val="0"/>
      <w:divBdr>
        <w:top w:val="none" w:sz="0" w:space="0" w:color="auto"/>
        <w:left w:val="none" w:sz="0" w:space="0" w:color="auto"/>
        <w:bottom w:val="none" w:sz="0" w:space="0" w:color="auto"/>
        <w:right w:val="none" w:sz="0" w:space="0" w:color="auto"/>
      </w:divBdr>
      <w:divsChild>
        <w:div w:id="74131539">
          <w:marLeft w:val="432"/>
          <w:marRight w:val="0"/>
          <w:marTop w:val="200"/>
          <w:marBottom w:val="0"/>
          <w:divBdr>
            <w:top w:val="none" w:sz="0" w:space="0" w:color="auto"/>
            <w:left w:val="none" w:sz="0" w:space="0" w:color="auto"/>
            <w:bottom w:val="none" w:sz="0" w:space="0" w:color="auto"/>
            <w:right w:val="none" w:sz="0" w:space="0" w:color="auto"/>
          </w:divBdr>
        </w:div>
        <w:div w:id="223755574">
          <w:marLeft w:val="850"/>
          <w:marRight w:val="0"/>
          <w:marTop w:val="100"/>
          <w:marBottom w:val="0"/>
          <w:divBdr>
            <w:top w:val="none" w:sz="0" w:space="0" w:color="auto"/>
            <w:left w:val="none" w:sz="0" w:space="0" w:color="auto"/>
            <w:bottom w:val="none" w:sz="0" w:space="0" w:color="auto"/>
            <w:right w:val="none" w:sz="0" w:space="0" w:color="auto"/>
          </w:divBdr>
        </w:div>
        <w:div w:id="302586850">
          <w:marLeft w:val="850"/>
          <w:marRight w:val="0"/>
          <w:marTop w:val="100"/>
          <w:marBottom w:val="0"/>
          <w:divBdr>
            <w:top w:val="none" w:sz="0" w:space="0" w:color="auto"/>
            <w:left w:val="none" w:sz="0" w:space="0" w:color="auto"/>
            <w:bottom w:val="none" w:sz="0" w:space="0" w:color="auto"/>
            <w:right w:val="none" w:sz="0" w:space="0" w:color="auto"/>
          </w:divBdr>
        </w:div>
        <w:div w:id="762149826">
          <w:marLeft w:val="432"/>
          <w:marRight w:val="0"/>
          <w:marTop w:val="200"/>
          <w:marBottom w:val="0"/>
          <w:divBdr>
            <w:top w:val="none" w:sz="0" w:space="0" w:color="auto"/>
            <w:left w:val="none" w:sz="0" w:space="0" w:color="auto"/>
            <w:bottom w:val="none" w:sz="0" w:space="0" w:color="auto"/>
            <w:right w:val="none" w:sz="0" w:space="0" w:color="auto"/>
          </w:divBdr>
        </w:div>
        <w:div w:id="1140655095">
          <w:marLeft w:val="432"/>
          <w:marRight w:val="0"/>
          <w:marTop w:val="200"/>
          <w:marBottom w:val="0"/>
          <w:divBdr>
            <w:top w:val="none" w:sz="0" w:space="0" w:color="auto"/>
            <w:left w:val="none" w:sz="0" w:space="0" w:color="auto"/>
            <w:bottom w:val="none" w:sz="0" w:space="0" w:color="auto"/>
            <w:right w:val="none" w:sz="0" w:space="0" w:color="auto"/>
          </w:divBdr>
        </w:div>
        <w:div w:id="1269705266">
          <w:marLeft w:val="850"/>
          <w:marRight w:val="0"/>
          <w:marTop w:val="100"/>
          <w:marBottom w:val="0"/>
          <w:divBdr>
            <w:top w:val="none" w:sz="0" w:space="0" w:color="auto"/>
            <w:left w:val="none" w:sz="0" w:space="0" w:color="auto"/>
            <w:bottom w:val="none" w:sz="0" w:space="0" w:color="auto"/>
            <w:right w:val="none" w:sz="0" w:space="0" w:color="auto"/>
          </w:divBdr>
        </w:div>
        <w:div w:id="1512137909">
          <w:marLeft w:val="850"/>
          <w:marRight w:val="0"/>
          <w:marTop w:val="100"/>
          <w:marBottom w:val="0"/>
          <w:divBdr>
            <w:top w:val="none" w:sz="0" w:space="0" w:color="auto"/>
            <w:left w:val="none" w:sz="0" w:space="0" w:color="auto"/>
            <w:bottom w:val="none" w:sz="0" w:space="0" w:color="auto"/>
            <w:right w:val="none" w:sz="0" w:space="0" w:color="auto"/>
          </w:divBdr>
        </w:div>
        <w:div w:id="1517503359">
          <w:marLeft w:val="850"/>
          <w:marRight w:val="0"/>
          <w:marTop w:val="100"/>
          <w:marBottom w:val="0"/>
          <w:divBdr>
            <w:top w:val="none" w:sz="0" w:space="0" w:color="auto"/>
            <w:left w:val="none" w:sz="0" w:space="0" w:color="auto"/>
            <w:bottom w:val="none" w:sz="0" w:space="0" w:color="auto"/>
            <w:right w:val="none" w:sz="0" w:space="0" w:color="auto"/>
          </w:divBdr>
        </w:div>
        <w:div w:id="1557621559">
          <w:marLeft w:val="850"/>
          <w:marRight w:val="0"/>
          <w:marTop w:val="100"/>
          <w:marBottom w:val="0"/>
          <w:divBdr>
            <w:top w:val="none" w:sz="0" w:space="0" w:color="auto"/>
            <w:left w:val="none" w:sz="0" w:space="0" w:color="auto"/>
            <w:bottom w:val="none" w:sz="0" w:space="0" w:color="auto"/>
            <w:right w:val="none" w:sz="0" w:space="0" w:color="auto"/>
          </w:divBdr>
        </w:div>
        <w:div w:id="1644582957">
          <w:marLeft w:val="850"/>
          <w:marRight w:val="0"/>
          <w:marTop w:val="100"/>
          <w:marBottom w:val="0"/>
          <w:divBdr>
            <w:top w:val="none" w:sz="0" w:space="0" w:color="auto"/>
            <w:left w:val="none" w:sz="0" w:space="0" w:color="auto"/>
            <w:bottom w:val="none" w:sz="0" w:space="0" w:color="auto"/>
            <w:right w:val="none" w:sz="0" w:space="0" w:color="auto"/>
          </w:divBdr>
        </w:div>
        <w:div w:id="2115782060">
          <w:marLeft w:val="850"/>
          <w:marRight w:val="0"/>
          <w:marTop w:val="100"/>
          <w:marBottom w:val="0"/>
          <w:divBdr>
            <w:top w:val="none" w:sz="0" w:space="0" w:color="auto"/>
            <w:left w:val="none" w:sz="0" w:space="0" w:color="auto"/>
            <w:bottom w:val="none" w:sz="0" w:space="0" w:color="auto"/>
            <w:right w:val="none" w:sz="0" w:space="0" w:color="auto"/>
          </w:divBdr>
        </w:div>
      </w:divsChild>
    </w:div>
    <w:div w:id="1160656725">
      <w:bodyDiv w:val="1"/>
      <w:marLeft w:val="0"/>
      <w:marRight w:val="0"/>
      <w:marTop w:val="0"/>
      <w:marBottom w:val="0"/>
      <w:divBdr>
        <w:top w:val="none" w:sz="0" w:space="0" w:color="auto"/>
        <w:left w:val="none" w:sz="0" w:space="0" w:color="auto"/>
        <w:bottom w:val="none" w:sz="0" w:space="0" w:color="auto"/>
        <w:right w:val="none" w:sz="0" w:space="0" w:color="auto"/>
      </w:divBdr>
      <w:divsChild>
        <w:div w:id="279411025">
          <w:marLeft w:val="432"/>
          <w:marRight w:val="0"/>
          <w:marTop w:val="200"/>
          <w:marBottom w:val="0"/>
          <w:divBdr>
            <w:top w:val="none" w:sz="0" w:space="0" w:color="auto"/>
            <w:left w:val="none" w:sz="0" w:space="0" w:color="auto"/>
            <w:bottom w:val="none" w:sz="0" w:space="0" w:color="auto"/>
            <w:right w:val="none" w:sz="0" w:space="0" w:color="auto"/>
          </w:divBdr>
        </w:div>
        <w:div w:id="1438254177">
          <w:marLeft w:val="432"/>
          <w:marRight w:val="0"/>
          <w:marTop w:val="200"/>
          <w:marBottom w:val="0"/>
          <w:divBdr>
            <w:top w:val="none" w:sz="0" w:space="0" w:color="auto"/>
            <w:left w:val="none" w:sz="0" w:space="0" w:color="auto"/>
            <w:bottom w:val="none" w:sz="0" w:space="0" w:color="auto"/>
            <w:right w:val="none" w:sz="0" w:space="0" w:color="auto"/>
          </w:divBdr>
        </w:div>
        <w:div w:id="1810784788">
          <w:marLeft w:val="432"/>
          <w:marRight w:val="0"/>
          <w:marTop w:val="200"/>
          <w:marBottom w:val="0"/>
          <w:divBdr>
            <w:top w:val="none" w:sz="0" w:space="0" w:color="auto"/>
            <w:left w:val="none" w:sz="0" w:space="0" w:color="auto"/>
            <w:bottom w:val="none" w:sz="0" w:space="0" w:color="auto"/>
            <w:right w:val="none" w:sz="0" w:space="0" w:color="auto"/>
          </w:divBdr>
        </w:div>
      </w:divsChild>
    </w:div>
    <w:div w:id="1170366318">
      <w:bodyDiv w:val="1"/>
      <w:marLeft w:val="0"/>
      <w:marRight w:val="0"/>
      <w:marTop w:val="0"/>
      <w:marBottom w:val="0"/>
      <w:divBdr>
        <w:top w:val="none" w:sz="0" w:space="0" w:color="auto"/>
        <w:left w:val="none" w:sz="0" w:space="0" w:color="auto"/>
        <w:bottom w:val="none" w:sz="0" w:space="0" w:color="auto"/>
        <w:right w:val="none" w:sz="0" w:space="0" w:color="auto"/>
      </w:divBdr>
    </w:div>
    <w:div w:id="1258830120">
      <w:bodyDiv w:val="1"/>
      <w:marLeft w:val="0"/>
      <w:marRight w:val="0"/>
      <w:marTop w:val="0"/>
      <w:marBottom w:val="0"/>
      <w:divBdr>
        <w:top w:val="none" w:sz="0" w:space="0" w:color="auto"/>
        <w:left w:val="none" w:sz="0" w:space="0" w:color="auto"/>
        <w:bottom w:val="none" w:sz="0" w:space="0" w:color="auto"/>
        <w:right w:val="none" w:sz="0" w:space="0" w:color="auto"/>
      </w:divBdr>
      <w:divsChild>
        <w:div w:id="991325549">
          <w:marLeft w:val="432"/>
          <w:marRight w:val="0"/>
          <w:marTop w:val="200"/>
          <w:marBottom w:val="0"/>
          <w:divBdr>
            <w:top w:val="none" w:sz="0" w:space="0" w:color="auto"/>
            <w:left w:val="none" w:sz="0" w:space="0" w:color="auto"/>
            <w:bottom w:val="none" w:sz="0" w:space="0" w:color="auto"/>
            <w:right w:val="none" w:sz="0" w:space="0" w:color="auto"/>
          </w:divBdr>
        </w:div>
        <w:div w:id="1117599903">
          <w:marLeft w:val="432"/>
          <w:marRight w:val="0"/>
          <w:marTop w:val="200"/>
          <w:marBottom w:val="0"/>
          <w:divBdr>
            <w:top w:val="none" w:sz="0" w:space="0" w:color="auto"/>
            <w:left w:val="none" w:sz="0" w:space="0" w:color="auto"/>
            <w:bottom w:val="none" w:sz="0" w:space="0" w:color="auto"/>
            <w:right w:val="none" w:sz="0" w:space="0" w:color="auto"/>
          </w:divBdr>
        </w:div>
        <w:div w:id="1587879007">
          <w:marLeft w:val="432"/>
          <w:marRight w:val="0"/>
          <w:marTop w:val="200"/>
          <w:marBottom w:val="0"/>
          <w:divBdr>
            <w:top w:val="none" w:sz="0" w:space="0" w:color="auto"/>
            <w:left w:val="none" w:sz="0" w:space="0" w:color="auto"/>
            <w:bottom w:val="none" w:sz="0" w:space="0" w:color="auto"/>
            <w:right w:val="none" w:sz="0" w:space="0" w:color="auto"/>
          </w:divBdr>
        </w:div>
      </w:divsChild>
    </w:div>
    <w:div w:id="1259949110">
      <w:bodyDiv w:val="1"/>
      <w:marLeft w:val="0"/>
      <w:marRight w:val="0"/>
      <w:marTop w:val="0"/>
      <w:marBottom w:val="0"/>
      <w:divBdr>
        <w:top w:val="none" w:sz="0" w:space="0" w:color="auto"/>
        <w:left w:val="none" w:sz="0" w:space="0" w:color="auto"/>
        <w:bottom w:val="none" w:sz="0" w:space="0" w:color="auto"/>
        <w:right w:val="none" w:sz="0" w:space="0" w:color="auto"/>
      </w:divBdr>
      <w:divsChild>
        <w:div w:id="705058229">
          <w:marLeft w:val="432"/>
          <w:marRight w:val="0"/>
          <w:marTop w:val="200"/>
          <w:marBottom w:val="0"/>
          <w:divBdr>
            <w:top w:val="none" w:sz="0" w:space="0" w:color="auto"/>
            <w:left w:val="none" w:sz="0" w:space="0" w:color="auto"/>
            <w:bottom w:val="none" w:sz="0" w:space="0" w:color="auto"/>
            <w:right w:val="none" w:sz="0" w:space="0" w:color="auto"/>
          </w:divBdr>
        </w:div>
        <w:div w:id="718625928">
          <w:marLeft w:val="432"/>
          <w:marRight w:val="0"/>
          <w:marTop w:val="200"/>
          <w:marBottom w:val="0"/>
          <w:divBdr>
            <w:top w:val="none" w:sz="0" w:space="0" w:color="auto"/>
            <w:left w:val="none" w:sz="0" w:space="0" w:color="auto"/>
            <w:bottom w:val="none" w:sz="0" w:space="0" w:color="auto"/>
            <w:right w:val="none" w:sz="0" w:space="0" w:color="auto"/>
          </w:divBdr>
        </w:div>
        <w:div w:id="739908021">
          <w:marLeft w:val="432"/>
          <w:marRight w:val="0"/>
          <w:marTop w:val="200"/>
          <w:marBottom w:val="0"/>
          <w:divBdr>
            <w:top w:val="none" w:sz="0" w:space="0" w:color="auto"/>
            <w:left w:val="none" w:sz="0" w:space="0" w:color="auto"/>
            <w:bottom w:val="none" w:sz="0" w:space="0" w:color="auto"/>
            <w:right w:val="none" w:sz="0" w:space="0" w:color="auto"/>
          </w:divBdr>
        </w:div>
      </w:divsChild>
    </w:div>
    <w:div w:id="1493990578">
      <w:bodyDiv w:val="1"/>
      <w:marLeft w:val="0"/>
      <w:marRight w:val="0"/>
      <w:marTop w:val="0"/>
      <w:marBottom w:val="0"/>
      <w:divBdr>
        <w:top w:val="none" w:sz="0" w:space="0" w:color="auto"/>
        <w:left w:val="none" w:sz="0" w:space="0" w:color="auto"/>
        <w:bottom w:val="none" w:sz="0" w:space="0" w:color="auto"/>
        <w:right w:val="none" w:sz="0" w:space="0" w:color="auto"/>
      </w:divBdr>
      <w:divsChild>
        <w:div w:id="70391967">
          <w:marLeft w:val="432"/>
          <w:marRight w:val="0"/>
          <w:marTop w:val="200"/>
          <w:marBottom w:val="0"/>
          <w:divBdr>
            <w:top w:val="none" w:sz="0" w:space="0" w:color="auto"/>
            <w:left w:val="none" w:sz="0" w:space="0" w:color="auto"/>
            <w:bottom w:val="none" w:sz="0" w:space="0" w:color="auto"/>
            <w:right w:val="none" w:sz="0" w:space="0" w:color="auto"/>
          </w:divBdr>
        </w:div>
        <w:div w:id="481583146">
          <w:marLeft w:val="432"/>
          <w:marRight w:val="0"/>
          <w:marTop w:val="200"/>
          <w:marBottom w:val="0"/>
          <w:divBdr>
            <w:top w:val="none" w:sz="0" w:space="0" w:color="auto"/>
            <w:left w:val="none" w:sz="0" w:space="0" w:color="auto"/>
            <w:bottom w:val="none" w:sz="0" w:space="0" w:color="auto"/>
            <w:right w:val="none" w:sz="0" w:space="0" w:color="auto"/>
          </w:divBdr>
        </w:div>
        <w:div w:id="574433765">
          <w:marLeft w:val="850"/>
          <w:marRight w:val="0"/>
          <w:marTop w:val="100"/>
          <w:marBottom w:val="0"/>
          <w:divBdr>
            <w:top w:val="none" w:sz="0" w:space="0" w:color="auto"/>
            <w:left w:val="none" w:sz="0" w:space="0" w:color="auto"/>
            <w:bottom w:val="none" w:sz="0" w:space="0" w:color="auto"/>
            <w:right w:val="none" w:sz="0" w:space="0" w:color="auto"/>
          </w:divBdr>
        </w:div>
        <w:div w:id="1182823161">
          <w:marLeft w:val="432"/>
          <w:marRight w:val="0"/>
          <w:marTop w:val="200"/>
          <w:marBottom w:val="0"/>
          <w:divBdr>
            <w:top w:val="none" w:sz="0" w:space="0" w:color="auto"/>
            <w:left w:val="none" w:sz="0" w:space="0" w:color="auto"/>
            <w:bottom w:val="none" w:sz="0" w:space="0" w:color="auto"/>
            <w:right w:val="none" w:sz="0" w:space="0" w:color="auto"/>
          </w:divBdr>
        </w:div>
        <w:div w:id="1251426255">
          <w:marLeft w:val="850"/>
          <w:marRight w:val="0"/>
          <w:marTop w:val="100"/>
          <w:marBottom w:val="0"/>
          <w:divBdr>
            <w:top w:val="none" w:sz="0" w:space="0" w:color="auto"/>
            <w:left w:val="none" w:sz="0" w:space="0" w:color="auto"/>
            <w:bottom w:val="none" w:sz="0" w:space="0" w:color="auto"/>
            <w:right w:val="none" w:sz="0" w:space="0" w:color="auto"/>
          </w:divBdr>
        </w:div>
        <w:div w:id="1510027081">
          <w:marLeft w:val="432"/>
          <w:marRight w:val="0"/>
          <w:marTop w:val="200"/>
          <w:marBottom w:val="0"/>
          <w:divBdr>
            <w:top w:val="none" w:sz="0" w:space="0" w:color="auto"/>
            <w:left w:val="none" w:sz="0" w:space="0" w:color="auto"/>
            <w:bottom w:val="none" w:sz="0" w:space="0" w:color="auto"/>
            <w:right w:val="none" w:sz="0" w:space="0" w:color="auto"/>
          </w:divBdr>
        </w:div>
        <w:div w:id="1714503476">
          <w:marLeft w:val="432"/>
          <w:marRight w:val="0"/>
          <w:marTop w:val="200"/>
          <w:marBottom w:val="0"/>
          <w:divBdr>
            <w:top w:val="none" w:sz="0" w:space="0" w:color="auto"/>
            <w:left w:val="none" w:sz="0" w:space="0" w:color="auto"/>
            <w:bottom w:val="none" w:sz="0" w:space="0" w:color="auto"/>
            <w:right w:val="none" w:sz="0" w:space="0" w:color="auto"/>
          </w:divBdr>
        </w:div>
        <w:div w:id="1878856872">
          <w:marLeft w:val="850"/>
          <w:marRight w:val="0"/>
          <w:marTop w:val="100"/>
          <w:marBottom w:val="0"/>
          <w:divBdr>
            <w:top w:val="none" w:sz="0" w:space="0" w:color="auto"/>
            <w:left w:val="none" w:sz="0" w:space="0" w:color="auto"/>
            <w:bottom w:val="none" w:sz="0" w:space="0" w:color="auto"/>
            <w:right w:val="none" w:sz="0" w:space="0" w:color="auto"/>
          </w:divBdr>
        </w:div>
      </w:divsChild>
    </w:div>
    <w:div w:id="1517302625">
      <w:bodyDiv w:val="1"/>
      <w:marLeft w:val="0"/>
      <w:marRight w:val="0"/>
      <w:marTop w:val="0"/>
      <w:marBottom w:val="0"/>
      <w:divBdr>
        <w:top w:val="none" w:sz="0" w:space="0" w:color="auto"/>
        <w:left w:val="none" w:sz="0" w:space="0" w:color="auto"/>
        <w:bottom w:val="none" w:sz="0" w:space="0" w:color="auto"/>
        <w:right w:val="none" w:sz="0" w:space="0" w:color="auto"/>
      </w:divBdr>
      <w:divsChild>
        <w:div w:id="1513144">
          <w:marLeft w:val="1282"/>
          <w:marRight w:val="0"/>
          <w:marTop w:val="100"/>
          <w:marBottom w:val="0"/>
          <w:divBdr>
            <w:top w:val="none" w:sz="0" w:space="0" w:color="auto"/>
            <w:left w:val="none" w:sz="0" w:space="0" w:color="auto"/>
            <w:bottom w:val="none" w:sz="0" w:space="0" w:color="auto"/>
            <w:right w:val="none" w:sz="0" w:space="0" w:color="auto"/>
          </w:divBdr>
        </w:div>
        <w:div w:id="119039233">
          <w:marLeft w:val="850"/>
          <w:marRight w:val="0"/>
          <w:marTop w:val="100"/>
          <w:marBottom w:val="0"/>
          <w:divBdr>
            <w:top w:val="none" w:sz="0" w:space="0" w:color="auto"/>
            <w:left w:val="none" w:sz="0" w:space="0" w:color="auto"/>
            <w:bottom w:val="none" w:sz="0" w:space="0" w:color="auto"/>
            <w:right w:val="none" w:sz="0" w:space="0" w:color="auto"/>
          </w:divBdr>
        </w:div>
        <w:div w:id="869882175">
          <w:marLeft w:val="850"/>
          <w:marRight w:val="0"/>
          <w:marTop w:val="100"/>
          <w:marBottom w:val="0"/>
          <w:divBdr>
            <w:top w:val="none" w:sz="0" w:space="0" w:color="auto"/>
            <w:left w:val="none" w:sz="0" w:space="0" w:color="auto"/>
            <w:bottom w:val="none" w:sz="0" w:space="0" w:color="auto"/>
            <w:right w:val="none" w:sz="0" w:space="0" w:color="auto"/>
          </w:divBdr>
        </w:div>
        <w:div w:id="1130590377">
          <w:marLeft w:val="850"/>
          <w:marRight w:val="0"/>
          <w:marTop w:val="100"/>
          <w:marBottom w:val="0"/>
          <w:divBdr>
            <w:top w:val="none" w:sz="0" w:space="0" w:color="auto"/>
            <w:left w:val="none" w:sz="0" w:space="0" w:color="auto"/>
            <w:bottom w:val="none" w:sz="0" w:space="0" w:color="auto"/>
            <w:right w:val="none" w:sz="0" w:space="0" w:color="auto"/>
          </w:divBdr>
        </w:div>
        <w:div w:id="1209025000">
          <w:marLeft w:val="432"/>
          <w:marRight w:val="0"/>
          <w:marTop w:val="200"/>
          <w:marBottom w:val="0"/>
          <w:divBdr>
            <w:top w:val="none" w:sz="0" w:space="0" w:color="auto"/>
            <w:left w:val="none" w:sz="0" w:space="0" w:color="auto"/>
            <w:bottom w:val="none" w:sz="0" w:space="0" w:color="auto"/>
            <w:right w:val="none" w:sz="0" w:space="0" w:color="auto"/>
          </w:divBdr>
        </w:div>
        <w:div w:id="1501503099">
          <w:marLeft w:val="850"/>
          <w:marRight w:val="0"/>
          <w:marTop w:val="100"/>
          <w:marBottom w:val="0"/>
          <w:divBdr>
            <w:top w:val="none" w:sz="0" w:space="0" w:color="auto"/>
            <w:left w:val="none" w:sz="0" w:space="0" w:color="auto"/>
            <w:bottom w:val="none" w:sz="0" w:space="0" w:color="auto"/>
            <w:right w:val="none" w:sz="0" w:space="0" w:color="auto"/>
          </w:divBdr>
        </w:div>
        <w:div w:id="1782725644">
          <w:marLeft w:val="432"/>
          <w:marRight w:val="0"/>
          <w:marTop w:val="200"/>
          <w:marBottom w:val="0"/>
          <w:divBdr>
            <w:top w:val="none" w:sz="0" w:space="0" w:color="auto"/>
            <w:left w:val="none" w:sz="0" w:space="0" w:color="auto"/>
            <w:bottom w:val="none" w:sz="0" w:space="0" w:color="auto"/>
            <w:right w:val="none" w:sz="0" w:space="0" w:color="auto"/>
          </w:divBdr>
        </w:div>
        <w:div w:id="1815444845">
          <w:marLeft w:val="1282"/>
          <w:marRight w:val="0"/>
          <w:marTop w:val="100"/>
          <w:marBottom w:val="0"/>
          <w:divBdr>
            <w:top w:val="none" w:sz="0" w:space="0" w:color="auto"/>
            <w:left w:val="none" w:sz="0" w:space="0" w:color="auto"/>
            <w:bottom w:val="none" w:sz="0" w:space="0" w:color="auto"/>
            <w:right w:val="none" w:sz="0" w:space="0" w:color="auto"/>
          </w:divBdr>
        </w:div>
        <w:div w:id="1911572960">
          <w:marLeft w:val="850"/>
          <w:marRight w:val="0"/>
          <w:marTop w:val="100"/>
          <w:marBottom w:val="0"/>
          <w:divBdr>
            <w:top w:val="none" w:sz="0" w:space="0" w:color="auto"/>
            <w:left w:val="none" w:sz="0" w:space="0" w:color="auto"/>
            <w:bottom w:val="none" w:sz="0" w:space="0" w:color="auto"/>
            <w:right w:val="none" w:sz="0" w:space="0" w:color="auto"/>
          </w:divBdr>
        </w:div>
        <w:div w:id="1999504211">
          <w:marLeft w:val="1282"/>
          <w:marRight w:val="0"/>
          <w:marTop w:val="100"/>
          <w:marBottom w:val="0"/>
          <w:divBdr>
            <w:top w:val="none" w:sz="0" w:space="0" w:color="auto"/>
            <w:left w:val="none" w:sz="0" w:space="0" w:color="auto"/>
            <w:bottom w:val="none" w:sz="0" w:space="0" w:color="auto"/>
            <w:right w:val="none" w:sz="0" w:space="0" w:color="auto"/>
          </w:divBdr>
        </w:div>
      </w:divsChild>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 w:id="1615555789">
      <w:bodyDiv w:val="1"/>
      <w:marLeft w:val="0"/>
      <w:marRight w:val="0"/>
      <w:marTop w:val="0"/>
      <w:marBottom w:val="0"/>
      <w:divBdr>
        <w:top w:val="none" w:sz="0" w:space="0" w:color="auto"/>
        <w:left w:val="none" w:sz="0" w:space="0" w:color="auto"/>
        <w:bottom w:val="none" w:sz="0" w:space="0" w:color="auto"/>
        <w:right w:val="none" w:sz="0" w:space="0" w:color="auto"/>
      </w:divBdr>
      <w:divsChild>
        <w:div w:id="1133988011">
          <w:marLeft w:val="432"/>
          <w:marRight w:val="0"/>
          <w:marTop w:val="200"/>
          <w:marBottom w:val="0"/>
          <w:divBdr>
            <w:top w:val="none" w:sz="0" w:space="0" w:color="auto"/>
            <w:left w:val="none" w:sz="0" w:space="0" w:color="auto"/>
            <w:bottom w:val="none" w:sz="0" w:space="0" w:color="auto"/>
            <w:right w:val="none" w:sz="0" w:space="0" w:color="auto"/>
          </w:divBdr>
        </w:div>
      </w:divsChild>
    </w:div>
    <w:div w:id="1667243191">
      <w:bodyDiv w:val="1"/>
      <w:marLeft w:val="0"/>
      <w:marRight w:val="0"/>
      <w:marTop w:val="0"/>
      <w:marBottom w:val="0"/>
      <w:divBdr>
        <w:top w:val="none" w:sz="0" w:space="0" w:color="auto"/>
        <w:left w:val="none" w:sz="0" w:space="0" w:color="auto"/>
        <w:bottom w:val="none" w:sz="0" w:space="0" w:color="auto"/>
        <w:right w:val="none" w:sz="0" w:space="0" w:color="auto"/>
      </w:divBdr>
      <w:divsChild>
        <w:div w:id="233391182">
          <w:marLeft w:val="432"/>
          <w:marRight w:val="0"/>
          <w:marTop w:val="200"/>
          <w:marBottom w:val="0"/>
          <w:divBdr>
            <w:top w:val="none" w:sz="0" w:space="0" w:color="auto"/>
            <w:left w:val="none" w:sz="0" w:space="0" w:color="auto"/>
            <w:bottom w:val="none" w:sz="0" w:space="0" w:color="auto"/>
            <w:right w:val="none" w:sz="0" w:space="0" w:color="auto"/>
          </w:divBdr>
        </w:div>
        <w:div w:id="1010378585">
          <w:marLeft w:val="432"/>
          <w:marRight w:val="0"/>
          <w:marTop w:val="200"/>
          <w:marBottom w:val="0"/>
          <w:divBdr>
            <w:top w:val="none" w:sz="0" w:space="0" w:color="auto"/>
            <w:left w:val="none" w:sz="0" w:space="0" w:color="auto"/>
            <w:bottom w:val="none" w:sz="0" w:space="0" w:color="auto"/>
            <w:right w:val="none" w:sz="0" w:space="0" w:color="auto"/>
          </w:divBdr>
        </w:div>
        <w:div w:id="1051224128">
          <w:marLeft w:val="432"/>
          <w:marRight w:val="0"/>
          <w:marTop w:val="200"/>
          <w:marBottom w:val="0"/>
          <w:divBdr>
            <w:top w:val="none" w:sz="0" w:space="0" w:color="auto"/>
            <w:left w:val="none" w:sz="0" w:space="0" w:color="auto"/>
            <w:bottom w:val="none" w:sz="0" w:space="0" w:color="auto"/>
            <w:right w:val="none" w:sz="0" w:space="0" w:color="auto"/>
          </w:divBdr>
        </w:div>
        <w:div w:id="1795563101">
          <w:marLeft w:val="432"/>
          <w:marRight w:val="0"/>
          <w:marTop w:val="200"/>
          <w:marBottom w:val="0"/>
          <w:divBdr>
            <w:top w:val="none" w:sz="0" w:space="0" w:color="auto"/>
            <w:left w:val="none" w:sz="0" w:space="0" w:color="auto"/>
            <w:bottom w:val="none" w:sz="0" w:space="0" w:color="auto"/>
            <w:right w:val="none" w:sz="0" w:space="0" w:color="auto"/>
          </w:divBdr>
        </w:div>
      </w:divsChild>
    </w:div>
    <w:div w:id="1700858868">
      <w:bodyDiv w:val="1"/>
      <w:marLeft w:val="0"/>
      <w:marRight w:val="0"/>
      <w:marTop w:val="0"/>
      <w:marBottom w:val="0"/>
      <w:divBdr>
        <w:top w:val="none" w:sz="0" w:space="0" w:color="auto"/>
        <w:left w:val="none" w:sz="0" w:space="0" w:color="auto"/>
        <w:bottom w:val="none" w:sz="0" w:space="0" w:color="auto"/>
        <w:right w:val="none" w:sz="0" w:space="0" w:color="auto"/>
      </w:divBdr>
      <w:divsChild>
        <w:div w:id="194005501">
          <w:marLeft w:val="446"/>
          <w:marRight w:val="0"/>
          <w:marTop w:val="0"/>
          <w:marBottom w:val="0"/>
          <w:divBdr>
            <w:top w:val="none" w:sz="0" w:space="0" w:color="auto"/>
            <w:left w:val="none" w:sz="0" w:space="0" w:color="auto"/>
            <w:bottom w:val="none" w:sz="0" w:space="0" w:color="auto"/>
            <w:right w:val="none" w:sz="0" w:space="0" w:color="auto"/>
          </w:divBdr>
        </w:div>
        <w:div w:id="436144764">
          <w:marLeft w:val="446"/>
          <w:marRight w:val="0"/>
          <w:marTop w:val="0"/>
          <w:marBottom w:val="0"/>
          <w:divBdr>
            <w:top w:val="none" w:sz="0" w:space="0" w:color="auto"/>
            <w:left w:val="none" w:sz="0" w:space="0" w:color="auto"/>
            <w:bottom w:val="none" w:sz="0" w:space="0" w:color="auto"/>
            <w:right w:val="none" w:sz="0" w:space="0" w:color="auto"/>
          </w:divBdr>
        </w:div>
        <w:div w:id="872032985">
          <w:marLeft w:val="446"/>
          <w:marRight w:val="0"/>
          <w:marTop w:val="0"/>
          <w:marBottom w:val="0"/>
          <w:divBdr>
            <w:top w:val="none" w:sz="0" w:space="0" w:color="auto"/>
            <w:left w:val="none" w:sz="0" w:space="0" w:color="auto"/>
            <w:bottom w:val="none" w:sz="0" w:space="0" w:color="auto"/>
            <w:right w:val="none" w:sz="0" w:space="0" w:color="auto"/>
          </w:divBdr>
        </w:div>
      </w:divsChild>
    </w:div>
    <w:div w:id="1762407364">
      <w:bodyDiv w:val="1"/>
      <w:marLeft w:val="0"/>
      <w:marRight w:val="0"/>
      <w:marTop w:val="0"/>
      <w:marBottom w:val="0"/>
      <w:divBdr>
        <w:top w:val="none" w:sz="0" w:space="0" w:color="auto"/>
        <w:left w:val="none" w:sz="0" w:space="0" w:color="auto"/>
        <w:bottom w:val="none" w:sz="0" w:space="0" w:color="auto"/>
        <w:right w:val="none" w:sz="0" w:space="0" w:color="auto"/>
      </w:divBdr>
      <w:divsChild>
        <w:div w:id="463667306">
          <w:marLeft w:val="850"/>
          <w:marRight w:val="0"/>
          <w:marTop w:val="100"/>
          <w:marBottom w:val="0"/>
          <w:divBdr>
            <w:top w:val="none" w:sz="0" w:space="0" w:color="auto"/>
            <w:left w:val="none" w:sz="0" w:space="0" w:color="auto"/>
            <w:bottom w:val="none" w:sz="0" w:space="0" w:color="auto"/>
            <w:right w:val="none" w:sz="0" w:space="0" w:color="auto"/>
          </w:divBdr>
        </w:div>
        <w:div w:id="722489228">
          <w:marLeft w:val="432"/>
          <w:marRight w:val="0"/>
          <w:marTop w:val="200"/>
          <w:marBottom w:val="0"/>
          <w:divBdr>
            <w:top w:val="none" w:sz="0" w:space="0" w:color="auto"/>
            <w:left w:val="none" w:sz="0" w:space="0" w:color="auto"/>
            <w:bottom w:val="none" w:sz="0" w:space="0" w:color="auto"/>
            <w:right w:val="none" w:sz="0" w:space="0" w:color="auto"/>
          </w:divBdr>
        </w:div>
      </w:divsChild>
    </w:div>
    <w:div w:id="1812940013">
      <w:bodyDiv w:val="1"/>
      <w:marLeft w:val="0"/>
      <w:marRight w:val="0"/>
      <w:marTop w:val="0"/>
      <w:marBottom w:val="0"/>
      <w:divBdr>
        <w:top w:val="none" w:sz="0" w:space="0" w:color="auto"/>
        <w:left w:val="none" w:sz="0" w:space="0" w:color="auto"/>
        <w:bottom w:val="none" w:sz="0" w:space="0" w:color="auto"/>
        <w:right w:val="none" w:sz="0" w:space="0" w:color="auto"/>
      </w:divBdr>
      <w:divsChild>
        <w:div w:id="5327116">
          <w:marLeft w:val="850"/>
          <w:marRight w:val="0"/>
          <w:marTop w:val="100"/>
          <w:marBottom w:val="0"/>
          <w:divBdr>
            <w:top w:val="none" w:sz="0" w:space="0" w:color="auto"/>
            <w:left w:val="none" w:sz="0" w:space="0" w:color="auto"/>
            <w:bottom w:val="none" w:sz="0" w:space="0" w:color="auto"/>
            <w:right w:val="none" w:sz="0" w:space="0" w:color="auto"/>
          </w:divBdr>
        </w:div>
        <w:div w:id="1598322626">
          <w:marLeft w:val="850"/>
          <w:marRight w:val="0"/>
          <w:marTop w:val="100"/>
          <w:marBottom w:val="0"/>
          <w:divBdr>
            <w:top w:val="none" w:sz="0" w:space="0" w:color="auto"/>
            <w:left w:val="none" w:sz="0" w:space="0" w:color="auto"/>
            <w:bottom w:val="none" w:sz="0" w:space="0" w:color="auto"/>
            <w:right w:val="none" w:sz="0" w:space="0" w:color="auto"/>
          </w:divBdr>
        </w:div>
        <w:div w:id="1758017773">
          <w:marLeft w:val="850"/>
          <w:marRight w:val="0"/>
          <w:marTop w:val="100"/>
          <w:marBottom w:val="0"/>
          <w:divBdr>
            <w:top w:val="none" w:sz="0" w:space="0" w:color="auto"/>
            <w:left w:val="none" w:sz="0" w:space="0" w:color="auto"/>
            <w:bottom w:val="none" w:sz="0" w:space="0" w:color="auto"/>
            <w:right w:val="none" w:sz="0" w:space="0" w:color="auto"/>
          </w:divBdr>
        </w:div>
      </w:divsChild>
    </w:div>
    <w:div w:id="1960918197">
      <w:bodyDiv w:val="1"/>
      <w:marLeft w:val="0"/>
      <w:marRight w:val="0"/>
      <w:marTop w:val="0"/>
      <w:marBottom w:val="0"/>
      <w:divBdr>
        <w:top w:val="none" w:sz="0" w:space="0" w:color="auto"/>
        <w:left w:val="none" w:sz="0" w:space="0" w:color="auto"/>
        <w:bottom w:val="none" w:sz="0" w:space="0" w:color="auto"/>
        <w:right w:val="none" w:sz="0" w:space="0" w:color="auto"/>
      </w:divBdr>
      <w:divsChild>
        <w:div w:id="197931334">
          <w:marLeft w:val="432"/>
          <w:marRight w:val="0"/>
          <w:marTop w:val="200"/>
          <w:marBottom w:val="0"/>
          <w:divBdr>
            <w:top w:val="none" w:sz="0" w:space="0" w:color="auto"/>
            <w:left w:val="none" w:sz="0" w:space="0" w:color="auto"/>
            <w:bottom w:val="none" w:sz="0" w:space="0" w:color="auto"/>
            <w:right w:val="none" w:sz="0" w:space="0" w:color="auto"/>
          </w:divBdr>
        </w:div>
        <w:div w:id="307980452">
          <w:marLeft w:val="850"/>
          <w:marRight w:val="0"/>
          <w:marTop w:val="100"/>
          <w:marBottom w:val="0"/>
          <w:divBdr>
            <w:top w:val="none" w:sz="0" w:space="0" w:color="auto"/>
            <w:left w:val="none" w:sz="0" w:space="0" w:color="auto"/>
            <w:bottom w:val="none" w:sz="0" w:space="0" w:color="auto"/>
            <w:right w:val="none" w:sz="0" w:space="0" w:color="auto"/>
          </w:divBdr>
        </w:div>
        <w:div w:id="369037881">
          <w:marLeft w:val="850"/>
          <w:marRight w:val="0"/>
          <w:marTop w:val="100"/>
          <w:marBottom w:val="0"/>
          <w:divBdr>
            <w:top w:val="none" w:sz="0" w:space="0" w:color="auto"/>
            <w:left w:val="none" w:sz="0" w:space="0" w:color="auto"/>
            <w:bottom w:val="none" w:sz="0" w:space="0" w:color="auto"/>
            <w:right w:val="none" w:sz="0" w:space="0" w:color="auto"/>
          </w:divBdr>
        </w:div>
        <w:div w:id="372392646">
          <w:marLeft w:val="850"/>
          <w:marRight w:val="0"/>
          <w:marTop w:val="100"/>
          <w:marBottom w:val="0"/>
          <w:divBdr>
            <w:top w:val="none" w:sz="0" w:space="0" w:color="auto"/>
            <w:left w:val="none" w:sz="0" w:space="0" w:color="auto"/>
            <w:bottom w:val="none" w:sz="0" w:space="0" w:color="auto"/>
            <w:right w:val="none" w:sz="0" w:space="0" w:color="auto"/>
          </w:divBdr>
        </w:div>
        <w:div w:id="471598992">
          <w:marLeft w:val="432"/>
          <w:marRight w:val="0"/>
          <w:marTop w:val="200"/>
          <w:marBottom w:val="0"/>
          <w:divBdr>
            <w:top w:val="none" w:sz="0" w:space="0" w:color="auto"/>
            <w:left w:val="none" w:sz="0" w:space="0" w:color="auto"/>
            <w:bottom w:val="none" w:sz="0" w:space="0" w:color="auto"/>
            <w:right w:val="none" w:sz="0" w:space="0" w:color="auto"/>
          </w:divBdr>
        </w:div>
        <w:div w:id="565067848">
          <w:marLeft w:val="432"/>
          <w:marRight w:val="0"/>
          <w:marTop w:val="200"/>
          <w:marBottom w:val="0"/>
          <w:divBdr>
            <w:top w:val="none" w:sz="0" w:space="0" w:color="auto"/>
            <w:left w:val="none" w:sz="0" w:space="0" w:color="auto"/>
            <w:bottom w:val="none" w:sz="0" w:space="0" w:color="auto"/>
            <w:right w:val="none" w:sz="0" w:space="0" w:color="auto"/>
          </w:divBdr>
        </w:div>
        <w:div w:id="799688022">
          <w:marLeft w:val="850"/>
          <w:marRight w:val="0"/>
          <w:marTop w:val="100"/>
          <w:marBottom w:val="0"/>
          <w:divBdr>
            <w:top w:val="none" w:sz="0" w:space="0" w:color="auto"/>
            <w:left w:val="none" w:sz="0" w:space="0" w:color="auto"/>
            <w:bottom w:val="none" w:sz="0" w:space="0" w:color="auto"/>
            <w:right w:val="none" w:sz="0" w:space="0" w:color="auto"/>
          </w:divBdr>
        </w:div>
        <w:div w:id="1336150533">
          <w:marLeft w:val="850"/>
          <w:marRight w:val="0"/>
          <w:marTop w:val="100"/>
          <w:marBottom w:val="0"/>
          <w:divBdr>
            <w:top w:val="none" w:sz="0" w:space="0" w:color="auto"/>
            <w:left w:val="none" w:sz="0" w:space="0" w:color="auto"/>
            <w:bottom w:val="none" w:sz="0" w:space="0" w:color="auto"/>
            <w:right w:val="none" w:sz="0" w:space="0" w:color="auto"/>
          </w:divBdr>
        </w:div>
        <w:div w:id="2066752978">
          <w:marLeft w:val="850"/>
          <w:marRight w:val="0"/>
          <w:marTop w:val="100"/>
          <w:marBottom w:val="0"/>
          <w:divBdr>
            <w:top w:val="none" w:sz="0" w:space="0" w:color="auto"/>
            <w:left w:val="none" w:sz="0" w:space="0" w:color="auto"/>
            <w:bottom w:val="none" w:sz="0" w:space="0" w:color="auto"/>
            <w:right w:val="none" w:sz="0" w:space="0" w:color="auto"/>
          </w:divBdr>
        </w:div>
        <w:div w:id="2131047268">
          <w:marLeft w:val="850"/>
          <w:marRight w:val="0"/>
          <w:marTop w:val="100"/>
          <w:marBottom w:val="0"/>
          <w:divBdr>
            <w:top w:val="none" w:sz="0" w:space="0" w:color="auto"/>
            <w:left w:val="none" w:sz="0" w:space="0" w:color="auto"/>
            <w:bottom w:val="none" w:sz="0" w:space="0" w:color="auto"/>
            <w:right w:val="none" w:sz="0" w:space="0" w:color="auto"/>
          </w:divBdr>
        </w:div>
        <w:div w:id="2141264579">
          <w:marLeft w:val="850"/>
          <w:marRight w:val="0"/>
          <w:marTop w:val="100"/>
          <w:marBottom w:val="0"/>
          <w:divBdr>
            <w:top w:val="none" w:sz="0" w:space="0" w:color="auto"/>
            <w:left w:val="none" w:sz="0" w:space="0" w:color="auto"/>
            <w:bottom w:val="none" w:sz="0" w:space="0" w:color="auto"/>
            <w:right w:val="none" w:sz="0" w:space="0" w:color="auto"/>
          </w:divBdr>
        </w:div>
      </w:divsChild>
    </w:div>
    <w:div w:id="1984460642">
      <w:bodyDiv w:val="1"/>
      <w:marLeft w:val="0"/>
      <w:marRight w:val="0"/>
      <w:marTop w:val="0"/>
      <w:marBottom w:val="0"/>
      <w:divBdr>
        <w:top w:val="none" w:sz="0" w:space="0" w:color="auto"/>
        <w:left w:val="none" w:sz="0" w:space="0" w:color="auto"/>
        <w:bottom w:val="none" w:sz="0" w:space="0" w:color="auto"/>
        <w:right w:val="none" w:sz="0" w:space="0" w:color="auto"/>
      </w:divBdr>
    </w:div>
    <w:div w:id="2004309598">
      <w:bodyDiv w:val="1"/>
      <w:marLeft w:val="0"/>
      <w:marRight w:val="0"/>
      <w:marTop w:val="0"/>
      <w:marBottom w:val="0"/>
      <w:divBdr>
        <w:top w:val="none" w:sz="0" w:space="0" w:color="auto"/>
        <w:left w:val="none" w:sz="0" w:space="0" w:color="auto"/>
        <w:bottom w:val="none" w:sz="0" w:space="0" w:color="auto"/>
        <w:right w:val="none" w:sz="0" w:space="0" w:color="auto"/>
      </w:divBdr>
      <w:divsChild>
        <w:div w:id="267858685">
          <w:marLeft w:val="1282"/>
          <w:marRight w:val="0"/>
          <w:marTop w:val="100"/>
          <w:marBottom w:val="0"/>
          <w:divBdr>
            <w:top w:val="none" w:sz="0" w:space="0" w:color="auto"/>
            <w:left w:val="none" w:sz="0" w:space="0" w:color="auto"/>
            <w:bottom w:val="none" w:sz="0" w:space="0" w:color="auto"/>
            <w:right w:val="none" w:sz="0" w:space="0" w:color="auto"/>
          </w:divBdr>
        </w:div>
        <w:div w:id="402139022">
          <w:marLeft w:val="850"/>
          <w:marRight w:val="0"/>
          <w:marTop w:val="100"/>
          <w:marBottom w:val="0"/>
          <w:divBdr>
            <w:top w:val="none" w:sz="0" w:space="0" w:color="auto"/>
            <w:left w:val="none" w:sz="0" w:space="0" w:color="auto"/>
            <w:bottom w:val="none" w:sz="0" w:space="0" w:color="auto"/>
            <w:right w:val="none" w:sz="0" w:space="0" w:color="auto"/>
          </w:divBdr>
        </w:div>
        <w:div w:id="408697646">
          <w:marLeft w:val="1282"/>
          <w:marRight w:val="0"/>
          <w:marTop w:val="100"/>
          <w:marBottom w:val="0"/>
          <w:divBdr>
            <w:top w:val="none" w:sz="0" w:space="0" w:color="auto"/>
            <w:left w:val="none" w:sz="0" w:space="0" w:color="auto"/>
            <w:bottom w:val="none" w:sz="0" w:space="0" w:color="auto"/>
            <w:right w:val="none" w:sz="0" w:space="0" w:color="auto"/>
          </w:divBdr>
        </w:div>
        <w:div w:id="940986750">
          <w:marLeft w:val="850"/>
          <w:marRight w:val="0"/>
          <w:marTop w:val="100"/>
          <w:marBottom w:val="0"/>
          <w:divBdr>
            <w:top w:val="none" w:sz="0" w:space="0" w:color="auto"/>
            <w:left w:val="none" w:sz="0" w:space="0" w:color="auto"/>
            <w:bottom w:val="none" w:sz="0" w:space="0" w:color="auto"/>
            <w:right w:val="none" w:sz="0" w:space="0" w:color="auto"/>
          </w:divBdr>
        </w:div>
        <w:div w:id="1316951123">
          <w:marLeft w:val="1282"/>
          <w:marRight w:val="0"/>
          <w:marTop w:val="100"/>
          <w:marBottom w:val="0"/>
          <w:divBdr>
            <w:top w:val="none" w:sz="0" w:space="0" w:color="auto"/>
            <w:left w:val="none" w:sz="0" w:space="0" w:color="auto"/>
            <w:bottom w:val="none" w:sz="0" w:space="0" w:color="auto"/>
            <w:right w:val="none" w:sz="0" w:space="0" w:color="auto"/>
          </w:divBdr>
        </w:div>
        <w:div w:id="1515265240">
          <w:marLeft w:val="850"/>
          <w:marRight w:val="0"/>
          <w:marTop w:val="100"/>
          <w:marBottom w:val="0"/>
          <w:divBdr>
            <w:top w:val="none" w:sz="0" w:space="0" w:color="auto"/>
            <w:left w:val="none" w:sz="0" w:space="0" w:color="auto"/>
            <w:bottom w:val="none" w:sz="0" w:space="0" w:color="auto"/>
            <w:right w:val="none" w:sz="0" w:space="0" w:color="auto"/>
          </w:divBdr>
        </w:div>
        <w:div w:id="1781100589">
          <w:marLeft w:val="850"/>
          <w:marRight w:val="0"/>
          <w:marTop w:val="100"/>
          <w:marBottom w:val="0"/>
          <w:divBdr>
            <w:top w:val="none" w:sz="0" w:space="0" w:color="auto"/>
            <w:left w:val="none" w:sz="0" w:space="0" w:color="auto"/>
            <w:bottom w:val="none" w:sz="0" w:space="0" w:color="auto"/>
            <w:right w:val="none" w:sz="0" w:space="0" w:color="auto"/>
          </w:divBdr>
        </w:div>
        <w:div w:id="2017460852">
          <w:marLeft w:val="432"/>
          <w:marRight w:val="0"/>
          <w:marTop w:val="200"/>
          <w:marBottom w:val="0"/>
          <w:divBdr>
            <w:top w:val="none" w:sz="0" w:space="0" w:color="auto"/>
            <w:left w:val="none" w:sz="0" w:space="0" w:color="auto"/>
            <w:bottom w:val="none" w:sz="0" w:space="0" w:color="auto"/>
            <w:right w:val="none" w:sz="0" w:space="0" w:color="auto"/>
          </w:divBdr>
        </w:div>
      </w:divsChild>
    </w:div>
    <w:div w:id="2086221115">
      <w:bodyDiv w:val="1"/>
      <w:marLeft w:val="0"/>
      <w:marRight w:val="0"/>
      <w:marTop w:val="0"/>
      <w:marBottom w:val="0"/>
      <w:divBdr>
        <w:top w:val="none" w:sz="0" w:space="0" w:color="auto"/>
        <w:left w:val="none" w:sz="0" w:space="0" w:color="auto"/>
        <w:bottom w:val="none" w:sz="0" w:space="0" w:color="auto"/>
        <w:right w:val="none" w:sz="0" w:space="0" w:color="auto"/>
      </w:divBdr>
      <w:divsChild>
        <w:div w:id="1077749237">
          <w:marLeft w:val="432"/>
          <w:marRight w:val="0"/>
          <w:marTop w:val="200"/>
          <w:marBottom w:val="0"/>
          <w:divBdr>
            <w:top w:val="none" w:sz="0" w:space="0" w:color="auto"/>
            <w:left w:val="none" w:sz="0" w:space="0" w:color="auto"/>
            <w:bottom w:val="none" w:sz="0" w:space="0" w:color="auto"/>
            <w:right w:val="none" w:sz="0" w:space="0" w:color="auto"/>
          </w:divBdr>
        </w:div>
        <w:div w:id="1289504629">
          <w:marLeft w:val="432"/>
          <w:marRight w:val="0"/>
          <w:marTop w:val="200"/>
          <w:marBottom w:val="0"/>
          <w:divBdr>
            <w:top w:val="none" w:sz="0" w:space="0" w:color="auto"/>
            <w:left w:val="none" w:sz="0" w:space="0" w:color="auto"/>
            <w:bottom w:val="none" w:sz="0" w:space="0" w:color="auto"/>
            <w:right w:val="none" w:sz="0" w:space="0" w:color="auto"/>
          </w:divBdr>
        </w:div>
        <w:div w:id="1945377740">
          <w:marLeft w:val="850"/>
          <w:marRight w:val="0"/>
          <w:marTop w:val="100"/>
          <w:marBottom w:val="0"/>
          <w:divBdr>
            <w:top w:val="none" w:sz="0" w:space="0" w:color="auto"/>
            <w:left w:val="none" w:sz="0" w:space="0" w:color="auto"/>
            <w:bottom w:val="none" w:sz="0" w:space="0" w:color="auto"/>
            <w:right w:val="none" w:sz="0" w:space="0" w:color="auto"/>
          </w:divBdr>
        </w:div>
        <w:div w:id="2017342800">
          <w:marLeft w:val="432"/>
          <w:marRight w:val="0"/>
          <w:marTop w:val="200"/>
          <w:marBottom w:val="0"/>
          <w:divBdr>
            <w:top w:val="none" w:sz="0" w:space="0" w:color="auto"/>
            <w:left w:val="none" w:sz="0" w:space="0" w:color="auto"/>
            <w:bottom w:val="none" w:sz="0" w:space="0" w:color="auto"/>
            <w:right w:val="none" w:sz="0" w:space="0" w:color="auto"/>
          </w:divBdr>
        </w:div>
      </w:divsChild>
    </w:div>
    <w:div w:id="2095589934">
      <w:bodyDiv w:val="1"/>
      <w:marLeft w:val="0"/>
      <w:marRight w:val="0"/>
      <w:marTop w:val="0"/>
      <w:marBottom w:val="0"/>
      <w:divBdr>
        <w:top w:val="none" w:sz="0" w:space="0" w:color="auto"/>
        <w:left w:val="none" w:sz="0" w:space="0" w:color="auto"/>
        <w:bottom w:val="none" w:sz="0" w:space="0" w:color="auto"/>
        <w:right w:val="none" w:sz="0" w:space="0" w:color="auto"/>
      </w:divBdr>
      <w:divsChild>
        <w:div w:id="296568410">
          <w:marLeft w:val="432"/>
          <w:marRight w:val="0"/>
          <w:marTop w:val="200"/>
          <w:marBottom w:val="0"/>
          <w:divBdr>
            <w:top w:val="none" w:sz="0" w:space="0" w:color="auto"/>
            <w:left w:val="none" w:sz="0" w:space="0" w:color="auto"/>
            <w:bottom w:val="none" w:sz="0" w:space="0" w:color="auto"/>
            <w:right w:val="none" w:sz="0" w:space="0" w:color="auto"/>
          </w:divBdr>
        </w:div>
        <w:div w:id="1735082830">
          <w:marLeft w:val="432"/>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image" Target="media/image16.jpeg"/><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image" Target="media/image19.jpe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footer" Target="footer9.xml"/><Relationship Id="rId68" Type="http://schemas.openxmlformats.org/officeDocument/2006/relationships/header" Target="header11.xml"/><Relationship Id="rId7" Type="http://schemas.openxmlformats.org/officeDocument/2006/relationships/settings" Target="settings.xml"/><Relationship Id="rId71"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jpe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1.jpeg"/><Relationship Id="rId37" Type="http://schemas.openxmlformats.org/officeDocument/2006/relationships/footer" Target="footer8.xml"/><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1.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header" Target="header8.xml"/><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0.jpe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39.png"/><Relationship Id="rId69"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12.png"/><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header" Target="header10.xml"/><Relationship Id="rId20" Type="http://schemas.openxmlformats.org/officeDocument/2006/relationships/header" Target="header5.xml"/><Relationship Id="rId41" Type="http://schemas.openxmlformats.org/officeDocument/2006/relationships/image" Target="media/image18.emf"/><Relationship Id="rId54" Type="http://schemas.openxmlformats.org/officeDocument/2006/relationships/image" Target="media/image31.png"/><Relationship Id="rId62" Type="http://schemas.openxmlformats.org/officeDocument/2006/relationships/header" Target="header9.xml"/><Relationship Id="rId7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capim.unimelb.edu.au/news-media-events/news/taking-a-fish-out-of-water-how-it-can-assist-conservation-effor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Corporate%20Templates\Templates\Report.dotm" TargetMode="External"/></Relationships>
</file>

<file path=word/theme/theme1.xml><?xml version="1.0" encoding="utf-8"?>
<a:theme xmlns:a="http://schemas.openxmlformats.org/drawingml/2006/main" name="Jacobs">
  <a:themeElements>
    <a:clrScheme name="Jacobs">
      <a:dk1>
        <a:srgbClr val="000000"/>
      </a:dk1>
      <a:lt1>
        <a:srgbClr val="FFFFFF"/>
      </a:lt1>
      <a:dk2>
        <a:srgbClr val="333333"/>
      </a:dk2>
      <a:lt2>
        <a:srgbClr val="E5E5E5"/>
      </a:lt2>
      <a:accent1>
        <a:srgbClr val="2314DC"/>
      </a:accent1>
      <a:accent2>
        <a:srgbClr val="6F006E"/>
      </a:accent2>
      <a:accent3>
        <a:srgbClr val="D72850"/>
      </a:accent3>
      <a:accent4>
        <a:srgbClr val="FFA014"/>
      </a:accent4>
      <a:accent5>
        <a:srgbClr val="007D55"/>
      </a:accent5>
      <a:accent6>
        <a:srgbClr val="C8C8C8"/>
      </a:accent6>
      <a:hlink>
        <a:srgbClr val="2314DC"/>
      </a:hlink>
      <a:folHlink>
        <a:srgbClr val="FF8714"/>
      </a:folHlink>
    </a:clrScheme>
    <a:fontScheme name="Jacobs">
      <a:majorFont>
        <a:latin typeface="Jacobs Chronos"/>
        <a:ea typeface=""/>
        <a:cs typeface=""/>
      </a:majorFont>
      <a:minorFont>
        <a:latin typeface="Jacobs Chrono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1FA6CE735684CBA8CD822179E2FC0" ma:contentTypeVersion="6" ma:contentTypeDescription="Create a new document." ma:contentTypeScope="" ma:versionID="c9938d598a21c5d3bce73180680f1d58">
  <xsd:schema xmlns:xsd="http://www.w3.org/2001/XMLSchema" xmlns:xs="http://www.w3.org/2001/XMLSchema" xmlns:p="http://schemas.microsoft.com/office/2006/metadata/properties" xmlns:ns2="3bc26ed7-be16-412d-973b-f27d86850363" xmlns:ns3="04ac68ae-80ef-4f46-aa3b-fd7784473956" targetNamespace="http://schemas.microsoft.com/office/2006/metadata/properties" ma:root="true" ma:fieldsID="dab753eaa75d43a738a74b0f4675f287" ns2:_="" ns3:_="">
    <xsd:import namespace="3bc26ed7-be16-412d-973b-f27d86850363"/>
    <xsd:import namespace="04ac68ae-80ef-4f46-aa3b-fd778447395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c26ed7-be16-412d-973b-f27d868503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ac68ae-80ef-4f46-aa3b-fd778447395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9F7EA4-FE37-4C6F-91A5-F9BDA0B23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c26ed7-be16-412d-973b-f27d86850363"/>
    <ds:schemaRef ds:uri="04ac68ae-80ef-4f46-aa3b-fd7784473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5E065D-D5BB-4B48-8EC5-FCCEB58EDF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B17B47-8101-4A31-B522-B11523BE8FC2}">
  <ds:schemaRefs>
    <ds:schemaRef ds:uri="http://schemas.openxmlformats.org/officeDocument/2006/bibliography"/>
  </ds:schemaRefs>
</ds:datastoreItem>
</file>

<file path=customXml/itemProps4.xml><?xml version="1.0" encoding="utf-8"?>
<ds:datastoreItem xmlns:ds="http://schemas.openxmlformats.org/officeDocument/2006/customXml" ds:itemID="{3DDD3FB5-CA75-48A9-B03C-0BFBB96E61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
  <TotalTime>2</TotalTime>
  <Pages>58</Pages>
  <Words>23381</Words>
  <Characters>133277</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 Fiona</dc:creator>
  <cp:keywords/>
  <dc:description/>
  <cp:lastModifiedBy>Treadwell, Simon A</cp:lastModifiedBy>
  <cp:revision>2</cp:revision>
  <cp:lastPrinted>2019-06-11T07:25:00Z</cp:lastPrinted>
  <dcterms:created xsi:type="dcterms:W3CDTF">2021-04-16T05:57:00Z</dcterms:created>
  <dcterms:modified xsi:type="dcterms:W3CDTF">2021-04-16T05:57:00Z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Heading">
    <vt:lpwstr>Cardinia Creek Hydrological and Fish Risk Assessment</vt:lpwstr>
  </property>
  <property fmtid="{D5CDD505-2E9C-101B-9397-08002B2CF9AE}" pid="3" name="Cover Subheading">
    <vt:lpwstr>Risk Assessment report</vt:lpwstr>
  </property>
  <property fmtid="{D5CDD505-2E9C-101B-9397-08002B2CF9AE}" pid="4" name="Cover Date">
    <vt:lpwstr>26 March 2020</vt:lpwstr>
  </property>
  <property fmtid="{D5CDD505-2E9C-101B-9397-08002B2CF9AE}" pid="5" name="Project Name">
    <vt:lpwstr>Cardinia Creek Hydrological and Fish Risk Assessment</vt:lpwstr>
  </property>
  <property fmtid="{D5CDD505-2E9C-101B-9397-08002B2CF9AE}" pid="6" name="NewDocument">
    <vt:lpwstr>False</vt:lpwstr>
  </property>
  <property fmtid="{D5CDD505-2E9C-101B-9397-08002B2CF9AE}" pid="7" name="DocumentGroup">
    <vt:lpwstr>ProposalReport</vt:lpwstr>
  </property>
  <property fmtid="{D5CDD505-2E9C-101B-9397-08002B2CF9AE}" pid="8" name="DocumentSubGroup">
    <vt:lpwstr>Report</vt:lpwstr>
  </property>
  <property fmtid="{D5CDD505-2E9C-101B-9397-08002B2CF9AE}" pid="9" name="Document Title">
    <vt:lpwstr>Risk Assessment report</vt:lpwstr>
  </property>
  <property fmtid="{D5CDD505-2E9C-101B-9397-08002B2CF9AE}" pid="10" name="Date">
    <vt:lpwstr>26 March 2020</vt:lpwstr>
  </property>
  <property fmtid="{D5CDD505-2E9C-101B-9397-08002B2CF9AE}" pid="11" name="Prepared By">
    <vt:lpwstr>Fiona Gilbert</vt:lpwstr>
  </property>
  <property fmtid="{D5CDD505-2E9C-101B-9397-08002B2CF9AE}" pid="12" name="Approved By">
    <vt:lpwstr>&lt;approved by&gt;</vt:lpwstr>
  </property>
  <property fmtid="{D5CDD505-2E9C-101B-9397-08002B2CF9AE}" pid="13" name="Document Number">
    <vt:lpwstr>R.01</vt:lpwstr>
  </property>
  <property fmtid="{D5CDD505-2E9C-101B-9397-08002B2CF9AE}" pid="14" name="Revision">
    <vt:lpwstr>00</vt:lpwstr>
  </property>
  <property fmtid="{D5CDD505-2E9C-101B-9397-08002B2CF9AE}" pid="15" name="Cover Reference">
    <vt:lpwstr>Client Reference</vt:lpwstr>
  </property>
  <property fmtid="{D5CDD505-2E9C-101B-9397-08002B2CF9AE}" pid="16" name="Project Manager">
    <vt:lpwstr>Simon Treadwell</vt:lpwstr>
  </property>
  <property fmtid="{D5CDD505-2E9C-101B-9397-08002B2CF9AE}" pid="17" name="Client Name">
    <vt:lpwstr>Melbourne Water</vt:lpwstr>
  </property>
  <property fmtid="{D5CDD505-2E9C-101B-9397-08002B2CF9AE}" pid="18" name="Project Number">
    <vt:lpwstr>IS305400</vt:lpwstr>
  </property>
  <property fmtid="{D5CDD505-2E9C-101B-9397-08002B2CF9AE}" pid="19" name="Client Reference">
    <vt:lpwstr>Client Reference</vt:lpwstr>
  </property>
  <property fmtid="{D5CDD505-2E9C-101B-9397-08002B2CF9AE}" pid="20" name="CVHeading">
    <vt:lpwstr>Curriculum Vitae</vt:lpwstr>
  </property>
  <property fmtid="{D5CDD505-2E9C-101B-9397-08002B2CF9AE}" pid="21" name="PHHeading">
    <vt:lpwstr>Project Description</vt:lpwstr>
  </property>
  <property fmtid="{D5CDD505-2E9C-101B-9397-08002B2CF9AE}" pid="22" name="ContentTypeId">
    <vt:lpwstr>0x0101002641FA6CE735684CBA8CD822179E2FC0</vt:lpwstr>
  </property>
  <property fmtid="{D5CDD505-2E9C-101B-9397-08002B2CF9AE}" pid="23" name="DocSuitability">
    <vt:lpwstr>&lt;DocSuitability&gt;</vt:lpwstr>
  </property>
  <property fmtid="{D5CDD505-2E9C-101B-9397-08002B2CF9AE}" pid="24" name="RevisionNumber1">
    <vt:lpwstr>&lt;RevisionNumber1&gt;</vt:lpwstr>
  </property>
  <property fmtid="{D5CDD505-2E9C-101B-9397-08002B2CF9AE}" pid="25" name="RevisionNumber2">
    <vt:lpwstr>&lt;RevisionNumber2&gt;</vt:lpwstr>
  </property>
  <property fmtid="{D5CDD505-2E9C-101B-9397-08002B2CF9AE}" pid="26" name="RevisionNumber4">
    <vt:lpwstr>&lt;RevisionNumber4&gt;</vt:lpwstr>
  </property>
  <property fmtid="{D5CDD505-2E9C-101B-9397-08002B2CF9AE}" pid="27" name="RevisionNumber5">
    <vt:lpwstr>&lt;RevisionNumber5&gt;</vt:lpwstr>
  </property>
  <property fmtid="{D5CDD505-2E9C-101B-9397-08002B2CF9AE}" pid="28" name="RevisionNumber6">
    <vt:lpwstr>&lt;RevisionNumber6&gt;</vt:lpwstr>
  </property>
  <property fmtid="{D5CDD505-2E9C-101B-9397-08002B2CF9AE}" pid="29" name="RevisionNumber3">
    <vt:lpwstr>&lt;RevisionNumber3&gt;</vt:lpwstr>
  </property>
  <property fmtid="{D5CDD505-2E9C-101B-9397-08002B2CF9AE}" pid="30" name="RevisionDescription1">
    <vt:lpwstr>&lt;RevisionDescription1&gt;</vt:lpwstr>
  </property>
  <property fmtid="{D5CDD505-2E9C-101B-9397-08002B2CF9AE}" pid="31" name="RevisionDescription2">
    <vt:lpwstr>&lt;RevisionDescription2&gt;</vt:lpwstr>
  </property>
  <property fmtid="{D5CDD505-2E9C-101B-9397-08002B2CF9AE}" pid="32" name="RevisionDescription3">
    <vt:lpwstr>&lt;RevisionDescription3&gt;</vt:lpwstr>
  </property>
  <property fmtid="{D5CDD505-2E9C-101B-9397-08002B2CF9AE}" pid="33" name="RevisionDescription4">
    <vt:lpwstr>&lt;RevisionDescription4&gt;</vt:lpwstr>
  </property>
  <property fmtid="{D5CDD505-2E9C-101B-9397-08002B2CF9AE}" pid="34" name="RevisionDescription5">
    <vt:lpwstr>&lt;RevisionDescription5&gt;</vt:lpwstr>
  </property>
  <property fmtid="{D5CDD505-2E9C-101B-9397-08002B2CF9AE}" pid="35" name="RevisionDescription6">
    <vt:lpwstr>&lt;RevisionDescription6&gt;</vt:lpwstr>
  </property>
  <property fmtid="{D5CDD505-2E9C-101B-9397-08002B2CF9AE}" pid="36" name="RevisionBy1">
    <vt:lpwstr>&lt;RevisionBy1&gt;</vt:lpwstr>
  </property>
  <property fmtid="{D5CDD505-2E9C-101B-9397-08002B2CF9AE}" pid="37" name="RevisionBy2">
    <vt:lpwstr>&lt;RevisionBy2&gt;</vt:lpwstr>
  </property>
  <property fmtid="{D5CDD505-2E9C-101B-9397-08002B2CF9AE}" pid="38" name="RevisionBy3">
    <vt:lpwstr>&lt;RevisionBy3&gt;</vt:lpwstr>
  </property>
  <property fmtid="{D5CDD505-2E9C-101B-9397-08002B2CF9AE}" pid="39" name="RevisionBy4">
    <vt:lpwstr>&lt;RevisionBy4&gt;</vt:lpwstr>
  </property>
  <property fmtid="{D5CDD505-2E9C-101B-9397-08002B2CF9AE}" pid="40" name="RevisionBy6">
    <vt:lpwstr>&lt;RevisionBy6&gt;</vt:lpwstr>
  </property>
  <property fmtid="{D5CDD505-2E9C-101B-9397-08002B2CF9AE}" pid="41" name="RevisionCheck1">
    <vt:lpwstr>&lt;RevisionCheck1&gt;</vt:lpwstr>
  </property>
  <property fmtid="{D5CDD505-2E9C-101B-9397-08002B2CF9AE}" pid="42" name="RevisionCheck2">
    <vt:lpwstr>&lt;RevisionCheck2&gt;</vt:lpwstr>
  </property>
  <property fmtid="{D5CDD505-2E9C-101B-9397-08002B2CF9AE}" pid="43" name="RevisionCheck3">
    <vt:lpwstr>&lt;RevisionCheck3&gt;</vt:lpwstr>
  </property>
  <property fmtid="{D5CDD505-2E9C-101B-9397-08002B2CF9AE}" pid="44" name="RevisionCheck4">
    <vt:lpwstr>&lt;RevisionCheck4&gt;</vt:lpwstr>
  </property>
  <property fmtid="{D5CDD505-2E9C-101B-9397-08002B2CF9AE}" pid="45" name="RevisionCheck5">
    <vt:lpwstr>&lt;RevisionCheck5&gt;</vt:lpwstr>
  </property>
  <property fmtid="{D5CDD505-2E9C-101B-9397-08002B2CF9AE}" pid="46" name="RevisionCheck6">
    <vt:lpwstr>&lt;RevisionCheck6&gt;</vt:lpwstr>
  </property>
  <property fmtid="{D5CDD505-2E9C-101B-9397-08002B2CF9AE}" pid="47" name="RevisionRev1">
    <vt:lpwstr>&lt;RevisionRev1&gt;</vt:lpwstr>
  </property>
  <property fmtid="{D5CDD505-2E9C-101B-9397-08002B2CF9AE}" pid="48" name="RevisionRev2">
    <vt:lpwstr>&lt;RevisionRev2&gt;</vt:lpwstr>
  </property>
  <property fmtid="{D5CDD505-2E9C-101B-9397-08002B2CF9AE}" pid="49" name="RevisionRev3">
    <vt:lpwstr>&lt;RevisionRev3&gt;</vt:lpwstr>
  </property>
  <property fmtid="{D5CDD505-2E9C-101B-9397-08002B2CF9AE}" pid="50" name="RevisionRev4">
    <vt:lpwstr>&lt;RevisionRev4&gt;</vt:lpwstr>
  </property>
  <property fmtid="{D5CDD505-2E9C-101B-9397-08002B2CF9AE}" pid="51" name="RevisionRev5">
    <vt:lpwstr>&lt;RevisionRev5&gt;</vt:lpwstr>
  </property>
  <property fmtid="{D5CDD505-2E9C-101B-9397-08002B2CF9AE}" pid="52" name="RevisionApproved1">
    <vt:lpwstr>&lt;RevisionApproved1&gt;</vt:lpwstr>
  </property>
  <property fmtid="{D5CDD505-2E9C-101B-9397-08002B2CF9AE}" pid="53" name="RevisionApproved2">
    <vt:lpwstr>&lt;RevisionApproved2&gt;</vt:lpwstr>
  </property>
  <property fmtid="{D5CDD505-2E9C-101B-9397-08002B2CF9AE}" pid="54" name="RevisionApproved3">
    <vt:lpwstr>&lt;RevisionApproved3&gt;</vt:lpwstr>
  </property>
  <property fmtid="{D5CDD505-2E9C-101B-9397-08002B2CF9AE}" pid="55" name="RevisionApproved4">
    <vt:lpwstr>&lt;RevisionApproved4&gt;</vt:lpwstr>
  </property>
  <property fmtid="{D5CDD505-2E9C-101B-9397-08002B2CF9AE}" pid="56" name="RevisionApproved5">
    <vt:lpwstr>&lt;RevisionApproved5&gt;</vt:lpwstr>
  </property>
  <property fmtid="{D5CDD505-2E9C-101B-9397-08002B2CF9AE}" pid="57" name="RevisionApproved6">
    <vt:lpwstr>&lt;RevisionApproved6&gt;</vt:lpwstr>
  </property>
  <property fmtid="{D5CDD505-2E9C-101B-9397-08002B2CF9AE}" pid="58" name="RevisionBy5">
    <vt:lpwstr>&lt;RevisionBy5&gt;</vt:lpwstr>
  </property>
  <property fmtid="{D5CDD505-2E9C-101B-9397-08002B2CF9AE}" pid="59" name="RevisionRev6">
    <vt:lpwstr>&lt;RevisionRev6&gt;</vt:lpwstr>
  </property>
  <property fmtid="{D5CDD505-2E9C-101B-9397-08002B2CF9AE}" pid="60" name="RevisionDate1">
    <vt:lpwstr>&lt;RevisionDate1&gt;</vt:lpwstr>
  </property>
  <property fmtid="{D5CDD505-2E9C-101B-9397-08002B2CF9AE}" pid="61" name="RevisionDate2">
    <vt:lpwstr>&lt;RevisionDate2&gt;</vt:lpwstr>
  </property>
  <property fmtid="{D5CDD505-2E9C-101B-9397-08002B2CF9AE}" pid="62" name="RevisionDate3">
    <vt:lpwstr>&lt;RevisionDate3&gt;</vt:lpwstr>
  </property>
  <property fmtid="{D5CDD505-2E9C-101B-9397-08002B2CF9AE}" pid="63" name="RevisionDate4">
    <vt:lpwstr>&lt;RevisionDate4&gt;</vt:lpwstr>
  </property>
  <property fmtid="{D5CDD505-2E9C-101B-9397-08002B2CF9AE}" pid="64" name="RevisionDate5">
    <vt:lpwstr>&lt;RevisionDate5&gt;</vt:lpwstr>
  </property>
  <property fmtid="{D5CDD505-2E9C-101B-9397-08002B2CF9AE}" pid="65" name="RevisionDate6">
    <vt:lpwstr>&lt;RevisionDate6&gt;</vt:lpwstr>
  </property>
  <property fmtid="{D5CDD505-2E9C-101B-9397-08002B2CF9AE}" pid="66" name="Document Type">
    <vt:lpwstr>Report</vt:lpwstr>
  </property>
</Properties>
</file>